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0"/>
      </w:pPr>
    </w:p>
    <w:p>
      <w:pPr>
        <w:jc w:val="center"/>
      </w:pPr>
      <w:r>
        <w:rPr>
          <w:color w:val="2C5F8A"/>
          <w:sz w:val="28"/>
        </w:rPr>
        <w:t>━━━━━━━━━━━━━━━━━━━━━━━━━━━━━━━━━━━━━━━━━━━━━━━━━━</w:t>
      </w:r>
    </w:p>
    <w:p>
      <w:pPr>
        <w:spacing w:after="80"/>
        <w:jc w:val="center"/>
      </w:pPr>
      <w:r>
        <w:rPr>
          <w:rFonts w:ascii="Calibri Light" w:hAnsi="Calibri Light"/>
          <w:b/>
          <w:color w:val="1B3A5C"/>
          <w:sz w:val="56"/>
        </w:rPr>
        <w:t>CUADRO COMPARATIVO</w:t>
      </w:r>
    </w:p>
    <w:p>
      <w:pPr>
        <w:spacing w:after="160"/>
        <w:jc w:val="center"/>
      </w:pPr>
      <w:r>
        <w:rPr>
          <w:rFonts w:ascii="Calibri" w:hAnsi="Calibri"/>
          <w:color w:val="2C5F8A"/>
          <w:sz w:val="32"/>
        </w:rPr>
        <w:t>Método Científico y Enfoques de Investigación</w:t>
      </w:r>
    </w:p>
    <w:p>
      <w:pPr>
        <w:spacing w:after="800"/>
        <w:jc w:val="center"/>
      </w:pPr>
      <w:r>
        <w:rPr>
          <w:color w:val="2C5F8A"/>
          <w:sz w:val="28"/>
        </w:rPr>
        <w:t>━━━━━━━━━━━━━━━━━━━━━━━━━━━━━━━━━━━━━━━━━━━━━━━━━━</w:t>
      </w:r>
    </w:p>
    <w:p>
      <w:pPr>
        <w:spacing w:after="40"/>
        <w:jc w:val="center"/>
      </w:pPr>
      <w:r>
        <w:rPr>
          <w:rFonts w:ascii="Calibri" w:hAnsi="Calibri"/>
          <w:b/>
          <w:color w:val="1B3A5C"/>
          <w:sz w:val="24"/>
        </w:rPr>
        <w:t xml:space="preserve">Estudiante: </w:t>
      </w:r>
      <w:r>
        <w:rPr>
          <w:rFonts w:ascii="Calibri" w:hAnsi="Calibri"/>
          <w:color w:val="333333"/>
          <w:sz w:val="24"/>
        </w:rPr>
        <w:t>Alexander Oviedo Fadul</w:t>
      </w:r>
    </w:p>
    <w:p>
      <w:pPr>
        <w:spacing w:after="40"/>
        <w:jc w:val="center"/>
      </w:pPr>
      <w:r>
        <w:rPr>
          <w:rFonts w:ascii="Calibri" w:hAnsi="Calibri"/>
          <w:b/>
          <w:color w:val="1B3A5C"/>
          <w:sz w:val="24"/>
        </w:rPr>
        <w:t xml:space="preserve">Curso: </w:t>
      </w:r>
      <w:r>
        <w:rPr>
          <w:rFonts w:ascii="Calibri" w:hAnsi="Calibri"/>
          <w:color w:val="333333"/>
          <w:sz w:val="24"/>
        </w:rPr>
        <w:t>NRC-199 – Investigación Aplicada</w:t>
      </w:r>
    </w:p>
    <w:p>
      <w:pPr>
        <w:spacing w:after="40"/>
        <w:jc w:val="center"/>
      </w:pPr>
      <w:r>
        <w:rPr>
          <w:rFonts w:ascii="Calibri" w:hAnsi="Calibri"/>
          <w:b/>
          <w:color w:val="1B3A5C"/>
          <w:sz w:val="24"/>
        </w:rPr>
        <w:t xml:space="preserve">Docente: </w:t>
      </w:r>
      <w:r>
        <w:rPr>
          <w:rFonts w:ascii="Calibri" w:hAnsi="Calibri"/>
          <w:color w:val="333333"/>
          <w:sz w:val="24"/>
        </w:rPr>
        <w:t>Fanny E. Sacristán</w:t>
      </w:r>
    </w:p>
    <w:p>
      <w:pPr>
        <w:spacing w:after="40"/>
        <w:jc w:val="center"/>
      </w:pPr>
      <w:r>
        <w:rPr>
          <w:rFonts w:ascii="Calibri" w:hAnsi="Calibri"/>
          <w:b/>
          <w:color w:val="1B3A5C"/>
          <w:sz w:val="24"/>
        </w:rPr>
        <w:t xml:space="preserve">Semana: </w:t>
      </w:r>
      <w:r>
        <w:rPr>
          <w:rFonts w:ascii="Calibri" w:hAnsi="Calibri"/>
          <w:color w:val="333333"/>
          <w:sz w:val="24"/>
        </w:rPr>
        <w:t>2</w:t>
      </w:r>
    </w:p>
    <w:p>
      <w:pPr>
        <w:spacing w:after="40"/>
        <w:jc w:val="center"/>
      </w:pPr>
      <w:r>
        <w:rPr>
          <w:rFonts w:ascii="Calibri" w:hAnsi="Calibri"/>
          <w:b/>
          <w:color w:val="1B3A5C"/>
          <w:sz w:val="24"/>
        </w:rPr>
        <w:t xml:space="preserve">Fecha: </w:t>
      </w:r>
      <w:r>
        <w:rPr>
          <w:rFonts w:ascii="Calibri" w:hAnsi="Calibri"/>
          <w:color w:val="333333"/>
          <w:sz w:val="24"/>
        </w:rPr>
        <w:t>Marzo de 2026</w:t>
      </w:r>
    </w:p>
    <w:p>
      <w:r>
        <w:br w:type="page"/>
      </w:r>
    </w:p>
    <w:p>
      <w:pPr>
        <w:spacing w:after="240"/>
        <w:jc w:val="left"/>
      </w:pPr>
      <w:r>
        <w:rPr>
          <w:rFonts w:ascii="Calibri" w:hAnsi="Calibri"/>
          <w:b/>
          <w:color w:val="1B3A5C"/>
          <w:sz w:val="32"/>
        </w:rPr>
        <w:t>PARTE 1: MÉTODO CIENTÍFICO</w:t>
      </w:r>
    </w:p>
    <w:tbl>
      <w:tblPr>
        <w:tblW w:type="auto" w:w="0"/>
        <w:jc w:val="center"/>
        <w:tblLook w:firstColumn="1" w:firstRow="1" w:lastColumn="0" w:lastRow="0" w:noHBand="0" w:noVBand="1" w:val="04A0"/>
      </w:tblPr>
      <w:tblGrid>
        <w:gridCol w:w="4680"/>
        <w:gridCol w:w="4680"/>
      </w:tblGrid>
      <w:tr>
        <w:tc>
          <w:tcPr>
            <w:tcW w:type="dxa" w:w="7370"/>
            <w:gridSpan w:val="2"/>
            <w:shd w:fill="1B3A5C"/>
            <w:tcBorders>
              <w:top w:val="single" w:sz="6" w:space="0" w:color="1B3A5C"/>
              <w:left w:val="single" w:sz="6" w:space="0" w:color="1B3A5C"/>
              <w:bottom w:val="single" w:sz="6" w:space="0" w:color="1B3A5C"/>
              <w:right w:val="single" w:sz="6" w:space="0" w:color="1B3A5C"/>
            </w:tcBorders>
          </w:tcPr>
          <w:p>
            <w:pPr>
              <w:spacing w:after="80" w:before="40"/>
              <w:jc w:val="center"/>
            </w:pPr>
            <w:r>
              <w:rPr>
                <w:rFonts w:ascii="Calibri" w:hAnsi="Calibri"/>
                <w:b/>
                <w:color w:val="FFFFFF"/>
                <w:sz w:val="26"/>
              </w:rPr>
              <w:t>MÉTODO CIENTÍFICO METODOLÓGICO</w:t>
            </w:r>
          </w:p>
        </w:tc>
      </w:tr>
      <w:tr>
        <w:tc>
          <w:tcPr>
            <w:tcW w:type="dxa" w:w="2268"/>
            <w:shd w:fill="2C5F8A"/>
            <w:tcBorders>
              <w:top w:val="single" w:sz="4" w:space="0" w:color="1B3A5C"/>
              <w:left w:val="single" w:sz="4" w:space="0" w:color="1B3A5C"/>
              <w:bottom w:val="single" w:sz="4" w:space="0" w:color="1B3A5C"/>
              <w:right w:val="single" w:sz="4" w:space="0" w:color="1B3A5C"/>
            </w:tcBorders>
            <w:vAlign w:val="center"/>
          </w:tcPr>
          <w:p>
            <w:pPr>
              <w:spacing w:after="80" w:before="40"/>
              <w:jc w:val="center"/>
            </w:pPr>
            <w:r>
              <w:rPr>
                <w:rFonts w:ascii="Calibri" w:hAnsi="Calibri"/>
                <w:b/>
                <w:color w:val="FFFFFF"/>
                <w:sz w:val="22"/>
              </w:rPr>
              <w:t>¿Qué es?</w:t>
            </w:r>
          </w:p>
        </w:tc>
        <w:tc>
          <w:tcPr>
            <w:tcW w:type="dxa" w:w="7370"/>
            <w:tcBorders>
              <w:top w:val="single" w:sz="4" w:space="0" w:color="1B3A5C"/>
              <w:left w:val="single" w:sz="4" w:space="0" w:color="1B3A5C"/>
              <w:bottom w:val="single" w:sz="4" w:space="0" w:color="1B3A5C"/>
              <w:right w:val="single" w:sz="4" w:space="0" w:color="1B3A5C"/>
            </w:tcBorders>
            <w:shd w:fill="F2F2F2"/>
          </w:tcPr>
          <w:p>
            <w:pPr>
              <w:spacing w:after="80" w:before="40"/>
              <w:jc w:val="left"/>
            </w:pPr>
            <w:r>
              <w:rPr>
                <w:rFonts w:ascii="Calibri" w:hAnsi="Calibri"/>
                <w:b w:val="0"/>
                <w:color w:val="333333"/>
                <w:sz w:val="20"/>
              </w:rPr>
              <w:t>El método científico es el procedimiento sistemático y ordenado que permite generar conocimiento objetivo mediante pasos estructurados: desde la observación de un fenómeno hasta la formulación de conclusiones respaldadas por evidencia empírica. No es un fin en sí mismo sino el medio para alcanzar explicaciones verificables y replicables de la realidad. Hernández-Sampieri y Mendoza (2018) lo describen como un proceso riguroso que combina lógica deductiva e inductiva para producir conocimiento con validez y confiabilidad. En la sesión de clase, la profesora Sacristán nos recordó cómo figuras como Francis Bacon, Galileo Galilei y Newton consolidaron las bases de este método al vincular la observación empírica con la matemática y la experimentación controlada.</w:t>
            </w:r>
          </w:p>
        </w:tc>
      </w:tr>
      <w:tr>
        <w:tc>
          <w:tcPr>
            <w:tcW w:type="dxa" w:w="2268"/>
            <w:shd w:fill="2C5F8A"/>
            <w:tcBorders>
              <w:top w:val="single" w:sz="4" w:space="0" w:color="1B3A5C"/>
              <w:left w:val="single" w:sz="4" w:space="0" w:color="1B3A5C"/>
              <w:bottom w:val="single" w:sz="4" w:space="0" w:color="1B3A5C"/>
              <w:right w:val="single" w:sz="4" w:space="0" w:color="1B3A5C"/>
            </w:tcBorders>
            <w:vAlign w:val="center"/>
          </w:tcPr>
          <w:p>
            <w:pPr>
              <w:spacing w:after="80" w:before="40"/>
              <w:jc w:val="center"/>
            </w:pPr>
            <w:r>
              <w:rPr>
                <w:rFonts w:ascii="Calibri" w:hAnsi="Calibri"/>
                <w:b/>
                <w:color w:val="FFFFFF"/>
                <w:sz w:val="22"/>
              </w:rPr>
              <w:t>¿Cuáles son</w:t>
              <w:br/>
              <w:t>sus componentes?</w:t>
            </w:r>
          </w:p>
        </w:tc>
        <w:tc>
          <w:tcPr>
            <w:tcW w:type="dxa" w:w="7370"/>
            <w:tcBorders>
              <w:top w:val="single" w:sz="4" w:space="0" w:color="1B3A5C"/>
              <w:left w:val="single" w:sz="4" w:space="0" w:color="1B3A5C"/>
              <w:bottom w:val="single" w:sz="4" w:space="0" w:color="1B3A5C"/>
              <w:right w:val="single" w:sz="4" w:space="0" w:color="1B3A5C"/>
            </w:tcBorders>
            <w:shd w:fill="FFFFFF"/>
          </w:tcPr>
          <w:p>
            <w:pPr>
              <w:spacing w:after="60" w:before="60"/>
            </w:pPr>
            <w:r>
              <w:rPr>
                <w:rFonts w:ascii="Calibri" w:hAnsi="Calibri"/>
                <w:b/>
                <w:color w:val="333333"/>
                <w:sz w:val="20"/>
              </w:rPr>
              <w:t xml:space="preserve">1. Observación: </w:t>
            </w:r>
            <w:r>
              <w:rPr>
                <w:rFonts w:ascii="Calibri" w:hAnsi="Calibri"/>
                <w:color w:val="333333"/>
                <w:sz w:val="20"/>
              </w:rPr>
              <w:t>Percepción directa del fenómeno que genera curiosidad investigativa. La profesora Sacristán lo ilustró con preguntarse por qué cae una manzana o por qué el atardecer tiene ciertos colores.</w:t>
            </w:r>
          </w:p>
          <w:p>
            <w:pPr>
              <w:spacing w:after="60" w:before="60"/>
            </w:pPr>
            <w:r>
              <w:rPr>
                <w:rFonts w:ascii="Calibri" w:hAnsi="Calibri"/>
                <w:b/>
                <w:color w:val="333333"/>
                <w:sz w:val="20"/>
              </w:rPr>
              <w:t xml:space="preserve">2. Formulación del problema: </w:t>
            </w:r>
            <w:r>
              <w:rPr>
                <w:rFonts w:ascii="Calibri" w:hAnsi="Calibri"/>
                <w:color w:val="333333"/>
                <w:sz w:val="20"/>
              </w:rPr>
              <w:t>Delimitación precisa de qué se quiere investigar, acotando los límites y alcances de la pregunta de investigación.</w:t>
            </w:r>
          </w:p>
          <w:p>
            <w:pPr>
              <w:spacing w:after="60" w:before="60"/>
            </w:pPr>
            <w:r>
              <w:rPr>
                <w:rFonts w:ascii="Calibri" w:hAnsi="Calibri"/>
                <w:b/>
                <w:color w:val="333333"/>
                <w:sz w:val="20"/>
              </w:rPr>
              <w:t xml:space="preserve">3. Hipótesis: </w:t>
            </w:r>
            <w:r>
              <w:rPr>
                <w:rFonts w:ascii="Calibri" w:hAnsi="Calibri"/>
                <w:color w:val="333333"/>
                <w:sz w:val="20"/>
              </w:rPr>
              <w:t>Respuesta tentativa al problema planteado. Hernández-Sampieri (2018) la define como una guía propositiva, medible y sujeta a validación experimental.</w:t>
            </w:r>
          </w:p>
          <w:p>
            <w:pPr>
              <w:spacing w:after="60" w:before="60"/>
            </w:pPr>
            <w:r>
              <w:rPr>
                <w:rFonts w:ascii="Calibri" w:hAnsi="Calibri"/>
                <w:b/>
                <w:color w:val="333333"/>
                <w:sz w:val="20"/>
              </w:rPr>
              <w:t xml:space="preserve">4. Experimentación / Metodología: </w:t>
            </w:r>
            <w:r>
              <w:rPr>
                <w:rFonts w:ascii="Calibri" w:hAnsi="Calibri"/>
                <w:color w:val="333333"/>
                <w:sz w:val="20"/>
              </w:rPr>
              <w:t>Aplicación del diseño de investigación elegido (cuantitativo, cualitativo o mixto) para recopilar y procesar datos de manera controlada.</w:t>
            </w:r>
          </w:p>
          <w:p>
            <w:pPr>
              <w:spacing w:after="60" w:before="60"/>
            </w:pPr>
            <w:r>
              <w:rPr>
                <w:rFonts w:ascii="Calibri" w:hAnsi="Calibri"/>
                <w:b/>
                <w:color w:val="333333"/>
                <w:sz w:val="20"/>
              </w:rPr>
              <w:t xml:space="preserve">5. Análisis y conclusiones: </w:t>
            </w:r>
            <w:r>
              <w:rPr>
                <w:rFonts w:ascii="Calibri" w:hAnsi="Calibri"/>
                <w:color w:val="333333"/>
                <w:sz w:val="20"/>
              </w:rPr>
              <w:t>Interpretación de resultados que confirman o refutan la hipótesis, generando nuevo conocimiento que a su vez abre nuevas preguntas e inicia un nuevo ciclo investigativo.</w:t>
            </w:r>
          </w:p>
        </w:tc>
      </w:tr>
    </w:tbl>
    <w:p>
      <w:pPr>
        <w:spacing w:after="400"/>
      </w:pPr>
    </w:p>
    <w:p>
      <w:pPr>
        <w:spacing w:after="240"/>
        <w:jc w:val="left"/>
      </w:pPr>
      <w:r>
        <w:rPr>
          <w:rFonts w:ascii="Calibri" w:hAnsi="Calibri"/>
          <w:b/>
          <w:color w:val="1B3A5C"/>
          <w:sz w:val="32"/>
        </w:rPr>
        <w:t>PARTE 2: ENFOQUES DE INVESTIGACIÓN</w:t>
      </w:r>
    </w:p>
    <w:tbl>
      <w:tblPr>
        <w:tblW w:type="auto" w:w="0"/>
        <w:jc w:val="center"/>
        <w:tblLook w:firstColumn="1" w:firstRow="1" w:lastColumn="0" w:lastRow="0" w:noHBand="0" w:noVBand="1" w:val="04A0"/>
      </w:tblPr>
      <w:tblGrid>
        <w:gridCol w:w="2340"/>
        <w:gridCol w:w="2340"/>
        <w:gridCol w:w="2340"/>
        <w:gridCol w:w="2340"/>
      </w:tblGrid>
      <w:tr>
        <w:tc>
          <w:tcPr>
            <w:tcW w:type="dxa" w:w="1417"/>
            <w:shd w:fill="1B3A5C"/>
            <w:tcBorders>
              <w:top w:val="single" w:sz="6" w:space="0" w:color="1B3A5C"/>
              <w:left w:val="single" w:sz="6" w:space="0" w:color="1B3A5C"/>
              <w:bottom w:val="single" w:sz="6" w:space="0" w:color="1B3A5C"/>
              <w:right w:val="single" w:sz="6" w:space="0" w:color="1B3A5C"/>
            </w:tcBorders>
            <w:vAlign w:val="center"/>
          </w:tcPr>
          <w:p>
            <w:pPr>
              <w:spacing w:after="80" w:before="40"/>
              <w:jc w:val="center"/>
            </w:pPr>
            <w:r>
              <w:rPr>
                <w:rFonts w:ascii="Calibri" w:hAnsi="Calibri"/>
                <w:b/>
                <w:color w:val="FFFFFF"/>
                <w:sz w:val="22"/>
              </w:rPr>
              <w:t>Enfoque</w:t>
            </w:r>
          </w:p>
        </w:tc>
        <w:tc>
          <w:tcPr>
            <w:tcW w:type="dxa" w:w="3118"/>
            <w:shd w:fill="1B3A5C"/>
            <w:tcBorders>
              <w:top w:val="single" w:sz="6" w:space="0" w:color="1B3A5C"/>
              <w:left w:val="single" w:sz="6" w:space="0" w:color="1B3A5C"/>
              <w:bottom w:val="single" w:sz="6" w:space="0" w:color="1B3A5C"/>
              <w:right w:val="single" w:sz="6" w:space="0" w:color="1B3A5C"/>
            </w:tcBorders>
            <w:vAlign w:val="center"/>
          </w:tcPr>
          <w:p>
            <w:pPr>
              <w:spacing w:after="80" w:before="40"/>
              <w:jc w:val="center"/>
            </w:pPr>
            <w:r>
              <w:rPr>
                <w:rFonts w:ascii="Calibri" w:hAnsi="Calibri"/>
                <w:b/>
                <w:color w:val="FFFFFF"/>
                <w:sz w:val="22"/>
              </w:rPr>
              <w:t>Características</w:t>
            </w:r>
          </w:p>
        </w:tc>
        <w:tc>
          <w:tcPr>
            <w:tcW w:type="dxa" w:w="3118"/>
            <w:shd w:fill="1B3A5C"/>
            <w:tcBorders>
              <w:top w:val="single" w:sz="6" w:space="0" w:color="1B3A5C"/>
              <w:left w:val="single" w:sz="6" w:space="0" w:color="1B3A5C"/>
              <w:bottom w:val="single" w:sz="6" w:space="0" w:color="1B3A5C"/>
              <w:right w:val="single" w:sz="6" w:space="0" w:color="1B3A5C"/>
            </w:tcBorders>
            <w:vAlign w:val="center"/>
          </w:tcPr>
          <w:p>
            <w:pPr>
              <w:spacing w:after="80" w:before="40"/>
              <w:jc w:val="center"/>
            </w:pPr>
            <w:r>
              <w:rPr>
                <w:rFonts w:ascii="Calibri" w:hAnsi="Calibri"/>
                <w:b/>
                <w:color w:val="FFFFFF"/>
                <w:sz w:val="22"/>
              </w:rPr>
              <w:t>Diferencias</w:t>
            </w:r>
          </w:p>
        </w:tc>
        <w:tc>
          <w:tcPr>
            <w:tcW w:type="dxa" w:w="2268"/>
            <w:shd w:fill="1B3A5C"/>
            <w:tcBorders>
              <w:top w:val="single" w:sz="6" w:space="0" w:color="1B3A5C"/>
              <w:left w:val="single" w:sz="6" w:space="0" w:color="1B3A5C"/>
              <w:bottom w:val="single" w:sz="6" w:space="0" w:color="1B3A5C"/>
              <w:right w:val="single" w:sz="6" w:space="0" w:color="1B3A5C"/>
            </w:tcBorders>
            <w:vAlign w:val="center"/>
          </w:tcPr>
          <w:p>
            <w:pPr>
              <w:spacing w:after="80" w:before="40"/>
              <w:jc w:val="center"/>
            </w:pPr>
            <w:r>
              <w:rPr>
                <w:rFonts w:ascii="Calibri" w:hAnsi="Calibri"/>
                <w:b/>
                <w:color w:val="FFFFFF"/>
                <w:sz w:val="22"/>
              </w:rPr>
              <w:t>Instrumentos</w:t>
            </w:r>
          </w:p>
        </w:tc>
      </w:tr>
      <w:tr>
        <w:tc>
          <w:tcPr>
            <w:tcW w:type="dxa" w:w="1417"/>
            <w:tcBorders>
              <w:top w:val="single" w:sz="4" w:space="0" w:color="1B3A5C"/>
              <w:left w:val="single" w:sz="4" w:space="0" w:color="1B3A5C"/>
              <w:bottom w:val="single" w:sz="4" w:space="0" w:color="1B3A5C"/>
              <w:right w:val="single" w:sz="4" w:space="0" w:color="1B3A5C"/>
            </w:tcBorders>
            <w:shd w:fill="278255"/>
            <w:vAlign w:val="center"/>
          </w:tcPr>
          <w:p>
            <w:pPr>
              <w:spacing w:after="80" w:before="40"/>
              <w:jc w:val="center"/>
            </w:pPr>
            <w:r>
              <w:rPr>
                <w:rFonts w:ascii="Calibri" w:hAnsi="Calibri"/>
                <w:b/>
                <w:color w:val="FFFFFF"/>
                <w:sz w:val="22"/>
              </w:rPr>
              <w:t>CUALITATIVO</w:t>
            </w:r>
          </w:p>
        </w:tc>
        <w:tc>
          <w:tcPr>
            <w:tcW w:type="dxa" w:w="3118"/>
            <w:tcBorders>
              <w:top w:val="single" w:sz="4" w:space="0" w:color="1B3A5C"/>
              <w:left w:val="single" w:sz="4" w:space="0" w:color="1B3A5C"/>
              <w:bottom w:val="single" w:sz="4" w:space="0" w:color="1B3A5C"/>
              <w:right w:val="single" w:sz="4" w:space="0" w:color="1B3A5C"/>
            </w:tcBorders>
            <w:shd w:fill="D6E8F7"/>
          </w:tcPr>
          <w:p>
            <w:pPr>
              <w:spacing w:after="80" w:before="40"/>
              <w:jc w:val="left"/>
            </w:pPr>
            <w:r>
              <w:rPr>
                <w:rFonts w:ascii="Calibri" w:hAnsi="Calibri"/>
                <w:b w:val="0"/>
                <w:color w:val="333333"/>
                <w:sz w:val="19"/>
              </w:rPr>
              <w:t>Es inductivo, interpretativo y flexible. La recolección y análisis de datos ocurren de forma simultánea, y el diseño se ajusta conforme avanza la investigación. Busca comprender significados, experiencias y contextos humanos desde la perspectiva de los participantes, en su entorno natural. Sánchez Flores (2019) señala que este enfoque se nutre del constructivismo y la fenomenología para capturar la subjetividad de las vivencias y los procesos sociales.</w:t>
            </w:r>
          </w:p>
        </w:tc>
        <w:tc>
          <w:tcPr>
            <w:tcW w:type="dxa" w:w="3118"/>
            <w:tcBorders>
              <w:top w:val="single" w:sz="4" w:space="0" w:color="1B3A5C"/>
              <w:left w:val="single" w:sz="4" w:space="0" w:color="1B3A5C"/>
              <w:bottom w:val="single" w:sz="4" w:space="0" w:color="1B3A5C"/>
              <w:right w:val="single" w:sz="4" w:space="0" w:color="1B3A5C"/>
            </w:tcBorders>
            <w:shd w:fill="F2F2F2"/>
          </w:tcPr>
          <w:p>
            <w:pPr>
              <w:spacing w:after="80" w:before="40"/>
              <w:jc w:val="left"/>
            </w:pPr>
            <w:r>
              <w:rPr>
                <w:rFonts w:ascii="Calibri" w:hAnsi="Calibri"/>
                <w:b w:val="0"/>
                <w:color w:val="333333"/>
                <w:sz w:val="19"/>
              </w:rPr>
              <w:t>No busca medir ni generalizar resultados; su objetivo es profundizar en el "por qué" de los fenómenos. No trabaja con hipótesis rígidas al inicio sino que las construye durante el proceso. Su validez se sustenta en la riqueza interpretativa y la saturación de datos, no en la representatividad estadística. Mendizábal (2018) destaca que su flexibilidad permite descubrir categorías emergentes que un diseño cuantitativo no capturaría.</w:t>
            </w:r>
          </w:p>
        </w:tc>
        <w:tc>
          <w:tcPr>
            <w:tcW w:type="dxa" w:w="2268"/>
            <w:tcBorders>
              <w:top w:val="single" w:sz="4" w:space="0" w:color="1B3A5C"/>
              <w:left w:val="single" w:sz="4" w:space="0" w:color="1B3A5C"/>
              <w:bottom w:val="single" w:sz="4" w:space="0" w:color="1B3A5C"/>
              <w:right w:val="single" w:sz="4" w:space="0" w:color="1B3A5C"/>
            </w:tcBorders>
            <w:shd w:fill="D6E8F7"/>
          </w:tcPr>
          <w:p>
            <w:pPr>
              <w:spacing w:after="80" w:before="40"/>
              <w:jc w:val="left"/>
            </w:pPr>
            <w:r>
              <w:rPr>
                <w:rFonts w:ascii="Calibri" w:hAnsi="Calibri"/>
                <w:b w:val="0"/>
                <w:color w:val="333333"/>
                <w:sz w:val="19"/>
              </w:rPr>
              <w:t>Entrevistas a profundidad (estructuradas y no estructuradas), grupos focales, observación participante, historias de vida y relatos biográficos, análisis de documentos textuales, diarios de campo y bitácoras etnográficas.</w:t>
            </w:r>
          </w:p>
        </w:tc>
      </w:tr>
      <w:tr>
        <w:tc>
          <w:tcPr>
            <w:tcW w:type="dxa" w:w="1417"/>
            <w:tcBorders>
              <w:top w:val="single" w:sz="4" w:space="0" w:color="1B3A5C"/>
              <w:left w:val="single" w:sz="4" w:space="0" w:color="1B3A5C"/>
              <w:bottom w:val="single" w:sz="4" w:space="0" w:color="1B3A5C"/>
              <w:right w:val="single" w:sz="4" w:space="0" w:color="1B3A5C"/>
            </w:tcBorders>
            <w:shd w:fill="D46B08"/>
            <w:vAlign w:val="center"/>
          </w:tcPr>
          <w:p>
            <w:pPr>
              <w:spacing w:after="80" w:before="40"/>
              <w:jc w:val="center"/>
            </w:pPr>
            <w:r>
              <w:rPr>
                <w:rFonts w:ascii="Calibri" w:hAnsi="Calibri"/>
                <w:b/>
                <w:color w:val="FFFFFF"/>
                <w:sz w:val="22"/>
              </w:rPr>
              <w:t>CUANTITATIVO</w:t>
            </w:r>
          </w:p>
        </w:tc>
        <w:tc>
          <w:tcPr>
            <w:tcW w:type="dxa" w:w="3118"/>
            <w:tcBorders>
              <w:top w:val="single" w:sz="4" w:space="0" w:color="1B3A5C"/>
              <w:left w:val="single" w:sz="4" w:space="0" w:color="1B3A5C"/>
              <w:bottom w:val="single" w:sz="4" w:space="0" w:color="1B3A5C"/>
              <w:right w:val="single" w:sz="4" w:space="0" w:color="1B3A5C"/>
            </w:tcBorders>
            <w:shd w:fill="F2F2F2"/>
          </w:tcPr>
          <w:p>
            <w:pPr>
              <w:spacing w:after="80" w:before="40"/>
              <w:jc w:val="left"/>
            </w:pPr>
            <w:r>
              <w:rPr>
                <w:rFonts w:ascii="Calibri" w:hAnsi="Calibri"/>
                <w:b w:val="0"/>
                <w:color w:val="333333"/>
                <w:sz w:val="19"/>
              </w:rPr>
              <w:t>Es deductivo, secuencial y estructurado. Parte de hipótesis previamente formuladas que se someten a prueba mediante recolección y análisis estadístico de datos numéricos. Busca objetividad, precisión y generalización de resultados. Hernández-Sampieri (2018) lo describe como un proceso lineal: idea → problema → hipótesis → diseño → recolección → análisis → resultados. La clase de la profesora Sacristán conectó este enfoque con la tradición positivista de Bacon y Newton.</w:t>
            </w:r>
          </w:p>
        </w:tc>
        <w:tc>
          <w:tcPr>
            <w:tcW w:type="dxa" w:w="3118"/>
            <w:tcBorders>
              <w:top w:val="single" w:sz="4" w:space="0" w:color="1B3A5C"/>
              <w:left w:val="single" w:sz="4" w:space="0" w:color="1B3A5C"/>
              <w:bottom w:val="single" w:sz="4" w:space="0" w:color="1B3A5C"/>
              <w:right w:val="single" w:sz="4" w:space="0" w:color="1B3A5C"/>
            </w:tcBorders>
            <w:shd w:fill="D6E8F7"/>
          </w:tcPr>
          <w:p>
            <w:pPr>
              <w:spacing w:after="80" w:before="40"/>
              <w:jc w:val="left"/>
            </w:pPr>
            <w:r>
              <w:rPr>
                <w:rFonts w:ascii="Calibri" w:hAnsi="Calibri"/>
                <w:b w:val="0"/>
                <w:color w:val="333333"/>
                <w:sz w:val="19"/>
              </w:rPr>
              <w:t>Depende de la estadística para establecer relaciones causales y correlaciones entre variables controladas. Trabaja con muestras representativas y los resultados pretenden ser generalizables a poblaciones más amplias. Su paradigma se alinea con el positivismo empírico. A diferencia del cualitativo, las hipótesis se definen antes de recoger datos y el investigador mantiene distancia del objeto de estudio para garantizar objetividad.</w:t>
            </w:r>
          </w:p>
        </w:tc>
        <w:tc>
          <w:tcPr>
            <w:tcW w:type="dxa" w:w="2268"/>
            <w:tcBorders>
              <w:top w:val="single" w:sz="4" w:space="0" w:color="1B3A5C"/>
              <w:left w:val="single" w:sz="4" w:space="0" w:color="1B3A5C"/>
              <w:bottom w:val="single" w:sz="4" w:space="0" w:color="1B3A5C"/>
              <w:right w:val="single" w:sz="4" w:space="0" w:color="1B3A5C"/>
            </w:tcBorders>
            <w:shd w:fill="F2F2F2"/>
          </w:tcPr>
          <w:p>
            <w:pPr>
              <w:spacing w:after="80" w:before="40"/>
              <w:jc w:val="left"/>
            </w:pPr>
            <w:r>
              <w:rPr>
                <w:rFonts w:ascii="Calibri" w:hAnsi="Calibri"/>
                <w:b w:val="0"/>
                <w:color w:val="333333"/>
                <w:sz w:val="19"/>
              </w:rPr>
              <w:t>Cuestionarios cerrados con opciones predefinidas, encuestas estandarizadas, escalas de medición validadas (como la escala Likert), pruebas experimentales controladas, bases de datos estadísticas, análisis de regresión, correlación e inferencia con muestras aleatorias numéricas.</w:t>
            </w:r>
          </w:p>
        </w:tc>
      </w:tr>
    </w:tbl>
    <w:p>
      <w:pPr>
        <w:spacing w:after="400"/>
      </w:pPr>
    </w:p>
    <w:p>
      <w:pPr>
        <w:spacing w:after="160"/>
        <w:jc w:val="left"/>
      </w:pPr>
      <w:r>
        <w:rPr>
          <w:rFonts w:ascii="Calibri" w:hAnsi="Calibri"/>
          <w:b/>
          <w:color w:val="1B3A5C"/>
          <w:sz w:val="28"/>
        </w:rPr>
        <w:t>REFLEXIÓN PERSONAL</w:t>
      </w:r>
    </w:p>
    <w:p>
      <w:pPr>
        <w:spacing w:after="160"/>
      </w:pPr>
      <w:r>
        <w:rPr>
          <w:color w:val="D6E8F7"/>
          <w:sz w:val="16"/>
        </w:rPr>
        <w:t>──────────────────────────────────────────────────────────────────────</w:t>
      </w:r>
    </w:p>
    <w:p>
      <w:pPr>
        <w:spacing w:after="160" w:line="360" w:lineRule="exact"/>
      </w:pPr>
      <w:r>
        <w:rPr>
          <w:rFonts w:ascii="Calibri" w:hAnsi="Calibri"/>
          <w:color w:val="333333"/>
          <w:sz w:val="22"/>
        </w:rPr>
        <w:t>Lo que más me ha resultado interesante de esta semana es comprobar, desde la teoría, algo que ya intuía por la práctica profesional: los enfoques cuantitativo y cualitativo no son opuestos irreconciliables, sino complementarios. En mi experiencia con sistemas de información para el sector judicial, he visto cómo las estadísticas de gestión mostraban indicadores de eficiencia aparentemente buenos, pero cuando se conversaba con los funcionarios —cuando se hacía, digamos, un abordaje cualitativo informal— salían a la luz problemas operativos que los números simplemente no capturaban.</w:t>
      </w:r>
    </w:p>
    <w:p>
      <w:pPr>
        <w:spacing w:after="320" w:line="360" w:lineRule="exact"/>
      </w:pPr>
      <w:r>
        <w:rPr>
          <w:rFonts w:ascii="Calibri" w:hAnsi="Calibri"/>
          <w:color w:val="333333"/>
          <w:sz w:val="22"/>
        </w:rPr>
        <w:t>La profesora Sacristán enfatizó en clase algo que me pareció clave: la elección del enfoque no es una decisión caprichosa ni ideológica, sino que depende directamente del problema que se quiera resolver. Y como señala Mendizábal (2018), la combinación de ambas rutas en un enfoque mixto representa una madurez metodológica que aprovecha lo mejor de cada paradigma. En el campo de la inteligencia artificial, donde estamos cursando esta especialización, esa mixtura se vuelve particularmente relevante: los datos cuantitativos alimentan los modelos, pero la interpretación cualitativa del contexto es lo que les da sentido real.</w:t>
      </w:r>
    </w:p>
    <w:p>
      <w:pPr>
        <w:spacing w:after="160"/>
        <w:jc w:val="left"/>
      </w:pPr>
      <w:r>
        <w:rPr>
          <w:rFonts w:ascii="Calibri" w:hAnsi="Calibri"/>
          <w:b/>
          <w:color w:val="1B3A5C"/>
          <w:sz w:val="28"/>
        </w:rPr>
        <w:t>REFERENCIAS</w:t>
      </w:r>
    </w:p>
    <w:p>
      <w:pPr>
        <w:spacing w:after="200"/>
      </w:pPr>
      <w:r>
        <w:rPr>
          <w:color w:val="D6E8F7"/>
          <w:sz w:val="16"/>
        </w:rPr>
        <w:t>──────────────────────────────────────────────────────────────────────</w:t>
      </w:r>
    </w:p>
    <w:p>
      <w:pPr>
        <w:spacing w:after="120" w:line="320" w:lineRule="exact"/>
        <w:ind w:firstLine="0" w:left="720"/>
      </w:pPr>
      <w:r>
        <w:rPr>
          <w:rFonts w:ascii="Calibri" w:hAnsi="Calibri"/>
          <w:color w:val="333333"/>
          <w:sz w:val="22"/>
        </w:rPr>
        <w:t xml:space="preserve">Hernández Sampieri, R., y Mendoza Torres, C. P. (2018). </w:t>
      </w:r>
      <w:r>
        <w:rPr>
          <w:rFonts w:ascii="Calibri" w:hAnsi="Calibri"/>
          <w:i/>
          <w:color w:val="333333"/>
          <w:sz w:val="22"/>
        </w:rPr>
        <w:t xml:space="preserve">Metodología de la investigación: Las rutas cuantitativa, cualitativa y mixta. </w:t>
      </w:r>
      <w:r>
        <w:rPr>
          <w:rFonts w:ascii="Calibri" w:hAnsi="Calibri"/>
          <w:color w:val="333333"/>
          <w:sz w:val="22"/>
        </w:rPr>
        <w:t>McGraw-Hill.</w:t>
      </w:r>
    </w:p>
    <w:p>
      <w:pPr>
        <w:spacing w:after="120" w:line="320" w:lineRule="exact"/>
        <w:ind w:firstLine="0" w:left="720"/>
      </w:pPr>
      <w:r>
        <w:rPr>
          <w:rFonts w:ascii="Calibri" w:hAnsi="Calibri"/>
          <w:color w:val="333333"/>
          <w:sz w:val="22"/>
        </w:rPr>
        <w:t xml:space="preserve">Mendizábal, N. (2018). </w:t>
      </w:r>
      <w:r>
        <w:rPr>
          <w:rFonts w:ascii="Calibri" w:hAnsi="Calibri"/>
          <w:i/>
          <w:color w:val="333333"/>
          <w:sz w:val="22"/>
        </w:rPr>
        <w:t xml:space="preserve">La osadía en la investigación: el uso de los métodos mixtos en las ciencias sociales. </w:t>
      </w:r>
      <w:r>
        <w:rPr>
          <w:rFonts w:ascii="Calibri" w:hAnsi="Calibri"/>
          <w:color w:val="333333"/>
          <w:sz w:val="22"/>
        </w:rPr>
        <w:t>Espacio Abierto, 27(2), 5-20.</w:t>
      </w:r>
    </w:p>
    <w:p>
      <w:pPr>
        <w:spacing w:after="120" w:line="320" w:lineRule="exact"/>
        <w:ind w:firstLine="0" w:left="720"/>
      </w:pPr>
      <w:r>
        <w:rPr>
          <w:rFonts w:ascii="Calibri" w:hAnsi="Calibri"/>
          <w:color w:val="333333"/>
          <w:sz w:val="22"/>
        </w:rPr>
        <w:t xml:space="preserve">Sánchez Flores, F. A. (2019). </w:t>
      </w:r>
      <w:r>
        <w:rPr>
          <w:rFonts w:ascii="Calibri" w:hAnsi="Calibri"/>
          <w:i/>
          <w:color w:val="333333"/>
          <w:sz w:val="22"/>
        </w:rPr>
        <w:t xml:space="preserve">Fundamentos epistémicos de la investigación cualitativa y cuantitativa: consensos y disensos. </w:t>
      </w:r>
      <w:r>
        <w:rPr>
          <w:rFonts w:ascii="Calibri" w:hAnsi="Calibri"/>
          <w:color w:val="333333"/>
          <w:sz w:val="22"/>
        </w:rPr>
        <w:t>Revista Digital de Investigación en Docencia Universitaria, 13(1), 77-91.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