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C162" w14:textId="77777777" w:rsidR="00235411" w:rsidRDefault="00235411"/>
    <w:p w14:paraId="63938ACA" w14:textId="77777777" w:rsidR="00235411" w:rsidRDefault="00235411"/>
    <w:p w14:paraId="2E405E72" w14:textId="77777777" w:rsidR="00235411" w:rsidRDefault="00235411"/>
    <w:p w14:paraId="767406F0" w14:textId="77777777" w:rsidR="00235411" w:rsidRDefault="00235411"/>
    <w:p w14:paraId="5C3B28FC" w14:textId="77777777" w:rsidR="00235411" w:rsidRDefault="00000000">
      <w:pPr>
        <w:jc w:val="center"/>
      </w:pPr>
      <w:r>
        <w:rPr>
          <w:b/>
        </w:rPr>
        <w:t>Tecnologías XR como Herramienta para la Gestión Judicial y Administrativa en la Rama Judicial Colombiana</w:t>
      </w:r>
    </w:p>
    <w:p w14:paraId="64A038DE" w14:textId="77777777" w:rsidR="00235411" w:rsidRDefault="00235411"/>
    <w:p w14:paraId="71B27702" w14:textId="77777777" w:rsidR="00235411" w:rsidRDefault="00000000">
      <w:pPr>
        <w:jc w:val="center"/>
      </w:pPr>
      <w:r>
        <w:t>Alexander Oviedo Fadul</w:t>
      </w:r>
    </w:p>
    <w:p w14:paraId="668C8A2D" w14:textId="77777777" w:rsidR="00235411" w:rsidRDefault="00000000">
      <w:pPr>
        <w:jc w:val="center"/>
      </w:pPr>
      <w:r>
        <w:t>Informática y Tecnología, Corporación Universitaria Minuto de Dios</w:t>
      </w:r>
    </w:p>
    <w:p w14:paraId="389DC354" w14:textId="77777777" w:rsidR="00235411" w:rsidRDefault="00000000">
      <w:pPr>
        <w:jc w:val="center"/>
      </w:pPr>
      <w:r>
        <w:t>NRC 199: Investigación Aplicada</w:t>
      </w:r>
    </w:p>
    <w:p w14:paraId="175B4556" w14:textId="77777777" w:rsidR="00235411" w:rsidRDefault="00000000">
      <w:pPr>
        <w:jc w:val="center"/>
      </w:pPr>
      <w:r>
        <w:t>Fanny Elizabeth Sacristan Bohorquez</w:t>
      </w:r>
    </w:p>
    <w:p w14:paraId="237FA339" w14:textId="1723B02B" w:rsidR="00235411" w:rsidRDefault="00775566">
      <w:pPr>
        <w:jc w:val="center"/>
      </w:pPr>
      <w:r>
        <w:t>5</w:t>
      </w:r>
      <w:r w:rsidR="00000000">
        <w:t xml:space="preserve"> de abril de 2026</w:t>
      </w:r>
    </w:p>
    <w:p w14:paraId="72A59746" w14:textId="77777777" w:rsidR="00235411" w:rsidRDefault="00000000">
      <w:r>
        <w:br w:type="page"/>
      </w:r>
    </w:p>
    <w:p w14:paraId="55A942E7" w14:textId="77777777" w:rsidR="00235411" w:rsidRDefault="00000000">
      <w:pPr>
        <w:jc w:val="center"/>
      </w:pPr>
      <w:r>
        <w:rPr>
          <w:b/>
        </w:rPr>
        <w:lastRenderedPageBreak/>
        <w:t>Estado del Arte y Pregunta Problema</w:t>
      </w:r>
    </w:p>
    <w:p w14:paraId="5978761A" w14:textId="77777777" w:rsidR="00235411" w:rsidRDefault="00000000">
      <w:r>
        <w:rPr>
          <w:b/>
        </w:rPr>
        <w:t>Pregunta Problema</w:t>
      </w:r>
    </w:p>
    <w:p w14:paraId="7D57A9A5" w14:textId="77777777" w:rsidR="00235411" w:rsidRDefault="00000000">
      <w:pPr>
        <w:ind w:firstLine="720"/>
      </w:pPr>
      <w:r>
        <w:t>A partir de la necesidad observada en la Rama Judicial colombiana de optimizar procesos administrativos y judiciales de cara a la transformación digital y el uso de nuevas tecnologías, y soportado en la revisión bibliográfica realizada para este estado del arte, se plantea la siguiente pregunta problema de investigación:</w:t>
      </w:r>
    </w:p>
    <w:p w14:paraId="271415DB" w14:textId="77777777" w:rsidR="00235411" w:rsidRDefault="00000000">
      <w:pPr>
        <w:ind w:left="720"/>
      </w:pPr>
      <w:r>
        <w:t>¿Cómo impacta la utilización piloto de tecnología de Realidad Extendida (XR) inmersiva en la eficiencia procesal y la experiencia de uso de jueces y funcionarios en la gestión judicial y administrativa (despacho, audiencias presenciales y virtuales, reuniones de consejos y direcciones) de la Rama Judicial en Colombia entre 2026 y 2028?</w:t>
      </w:r>
    </w:p>
    <w:p w14:paraId="48973039" w14:textId="77777777" w:rsidR="00235411" w:rsidRDefault="00000000">
      <w:r>
        <w:br w:type="page"/>
      </w:r>
    </w:p>
    <w:p w14:paraId="6B21E75A" w14:textId="77777777" w:rsidR="00235411" w:rsidRDefault="00000000">
      <w:r>
        <w:rPr>
          <w:b/>
        </w:rPr>
        <w:lastRenderedPageBreak/>
        <w:t>Desarrollo del Estado del Arte</w:t>
      </w:r>
    </w:p>
    <w:p w14:paraId="0EB55013" w14:textId="77777777" w:rsidR="00235411" w:rsidRDefault="00000000">
      <w:pPr>
        <w:ind w:firstLine="720"/>
      </w:pPr>
      <w:r>
        <w:t>A continuación, se describen diez fuentes confiables, de producción no mayor a 5 años, que apoyan la formulación del problema y que muestran el estado actual de la tecnología de Realidad Extendida (VR/AR/XR) en la modernización y la gestión judicial. Se identifican las características e impacto de cada fuente aportada.</w:t>
      </w:r>
    </w:p>
    <w:p w14:paraId="5CCD9D6D" w14:textId="77777777" w:rsidR="00235411" w:rsidRDefault="00000000">
      <w:r>
        <w:rPr>
          <w:b/>
        </w:rPr>
        <w:t>Tabla 1</w:t>
      </w:r>
    </w:p>
    <w:p w14:paraId="571D4519" w14:textId="77777777" w:rsidR="00235411" w:rsidRDefault="00000000">
      <w:r>
        <w:rPr>
          <w:i/>
        </w:rPr>
        <w:t>Matriz de Descripción de Fuentes para el Estado del Arte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9"/>
        <w:gridCol w:w="1102"/>
        <w:gridCol w:w="1102"/>
        <w:gridCol w:w="1250"/>
        <w:gridCol w:w="1663"/>
        <w:gridCol w:w="1076"/>
        <w:gridCol w:w="1224"/>
        <w:gridCol w:w="1170"/>
      </w:tblGrid>
      <w:tr w:rsidR="00235411" w14:paraId="6DCF5FB5" w14:textId="77777777">
        <w:tc>
          <w:tcPr>
            <w:tcW w:w="1170" w:type="dxa"/>
          </w:tcPr>
          <w:p w14:paraId="18F0BC82" w14:textId="77777777" w:rsidR="00235411" w:rsidRDefault="00000000">
            <w:r>
              <w:rPr>
                <w:b/>
                <w:sz w:val="20"/>
              </w:rPr>
              <w:t>Tipo de documento</w:t>
            </w:r>
          </w:p>
        </w:tc>
        <w:tc>
          <w:tcPr>
            <w:tcW w:w="1170" w:type="dxa"/>
          </w:tcPr>
          <w:p w14:paraId="667C7455" w14:textId="77777777" w:rsidR="00235411" w:rsidRDefault="00000000">
            <w:r>
              <w:rPr>
                <w:b/>
                <w:sz w:val="20"/>
              </w:rPr>
              <w:t>Referencia (APA 7° Edición)</w:t>
            </w:r>
          </w:p>
        </w:tc>
        <w:tc>
          <w:tcPr>
            <w:tcW w:w="1170" w:type="dxa"/>
          </w:tcPr>
          <w:p w14:paraId="4F87C80E" w14:textId="77777777" w:rsidR="00235411" w:rsidRDefault="00000000">
            <w:r>
              <w:rPr>
                <w:b/>
                <w:sz w:val="20"/>
              </w:rPr>
              <w:t>Título del documento</w:t>
            </w:r>
          </w:p>
        </w:tc>
        <w:tc>
          <w:tcPr>
            <w:tcW w:w="1170" w:type="dxa"/>
          </w:tcPr>
          <w:p w14:paraId="27129F7F" w14:textId="77777777" w:rsidR="00235411" w:rsidRDefault="00000000">
            <w:r>
              <w:rPr>
                <w:b/>
                <w:sz w:val="20"/>
              </w:rPr>
              <w:t>Tema / Resumen</w:t>
            </w:r>
          </w:p>
        </w:tc>
        <w:tc>
          <w:tcPr>
            <w:tcW w:w="1170" w:type="dxa"/>
          </w:tcPr>
          <w:p w14:paraId="107D9FE2" w14:textId="77777777" w:rsidR="00235411" w:rsidRDefault="00000000">
            <w:r>
              <w:rPr>
                <w:b/>
                <w:sz w:val="20"/>
              </w:rPr>
              <w:t>Objetivo</w:t>
            </w:r>
          </w:p>
        </w:tc>
        <w:tc>
          <w:tcPr>
            <w:tcW w:w="1170" w:type="dxa"/>
          </w:tcPr>
          <w:p w14:paraId="3E6B6549" w14:textId="77777777" w:rsidR="00235411" w:rsidRDefault="00000000">
            <w:r>
              <w:rPr>
                <w:b/>
                <w:sz w:val="20"/>
              </w:rPr>
              <w:t>Metodología</w:t>
            </w:r>
          </w:p>
        </w:tc>
        <w:tc>
          <w:tcPr>
            <w:tcW w:w="1170" w:type="dxa"/>
          </w:tcPr>
          <w:p w14:paraId="39198699" w14:textId="77777777" w:rsidR="00235411" w:rsidRDefault="00000000">
            <w:r>
              <w:rPr>
                <w:b/>
                <w:sz w:val="20"/>
              </w:rPr>
              <w:t>Conclusiones de la investigación</w:t>
            </w:r>
          </w:p>
        </w:tc>
        <w:tc>
          <w:tcPr>
            <w:tcW w:w="1170" w:type="dxa"/>
          </w:tcPr>
          <w:p w14:paraId="234D76B2" w14:textId="77777777" w:rsidR="00235411" w:rsidRDefault="00000000">
            <w:r>
              <w:rPr>
                <w:b/>
                <w:sz w:val="20"/>
              </w:rPr>
              <w:t>Relación con la temática</w:t>
            </w:r>
          </w:p>
        </w:tc>
      </w:tr>
      <w:tr w:rsidR="00235411" w14:paraId="6466E13D" w14:textId="77777777">
        <w:tc>
          <w:tcPr>
            <w:tcW w:w="1170" w:type="dxa"/>
          </w:tcPr>
          <w:p w14:paraId="479782D0" w14:textId="77777777" w:rsidR="00235411" w:rsidRDefault="00000000">
            <w:r>
              <w:rPr>
                <w:sz w:val="20"/>
              </w:rPr>
              <w:t>Libro de metodología</w:t>
            </w:r>
          </w:p>
        </w:tc>
        <w:tc>
          <w:tcPr>
            <w:tcW w:w="1170" w:type="dxa"/>
          </w:tcPr>
          <w:p w14:paraId="1A823A29" w14:textId="77777777" w:rsidR="00235411" w:rsidRDefault="00000000">
            <w:r>
              <w:rPr>
                <w:sz w:val="20"/>
              </w:rPr>
              <w:t>Hernández-Sampieri, R., &amp; Mendoza, C. (2018). Metodología de la investigación: Las rutas cuantitativa, cualitativa y mixta. McGraw-</w:t>
            </w:r>
            <w:r>
              <w:rPr>
                <w:sz w:val="20"/>
              </w:rPr>
              <w:lastRenderedPageBreak/>
              <w:t>Hill.</w:t>
            </w:r>
          </w:p>
        </w:tc>
        <w:tc>
          <w:tcPr>
            <w:tcW w:w="1170" w:type="dxa"/>
          </w:tcPr>
          <w:p w14:paraId="10FDED25" w14:textId="77777777" w:rsidR="00235411" w:rsidRDefault="00000000">
            <w:r>
              <w:rPr>
                <w:sz w:val="20"/>
              </w:rPr>
              <w:lastRenderedPageBreak/>
              <w:t>La idea de investigación...</w:t>
            </w:r>
          </w:p>
        </w:tc>
        <w:tc>
          <w:tcPr>
            <w:tcW w:w="1170" w:type="dxa"/>
          </w:tcPr>
          <w:p w14:paraId="787F6B65" w14:textId="77777777" w:rsidR="00235411" w:rsidRDefault="00000000">
            <w:r>
              <w:rPr>
                <w:sz w:val="20"/>
              </w:rPr>
              <w:t>Explica detalladamente cómo se generan ideas de investigación y se formulan problemas válidos, delimitados en tiempo y espacio.</w:t>
            </w:r>
          </w:p>
        </w:tc>
        <w:tc>
          <w:tcPr>
            <w:tcW w:w="1170" w:type="dxa"/>
          </w:tcPr>
          <w:p w14:paraId="4B48026B" w14:textId="77777777" w:rsidR="00235411" w:rsidRDefault="00000000">
            <w:r>
              <w:rPr>
                <w:sz w:val="20"/>
              </w:rPr>
              <w:t>Orientar la concepción de ideas y problemas de investigación en distintos enfoques metodológicos.</w:t>
            </w:r>
          </w:p>
        </w:tc>
        <w:tc>
          <w:tcPr>
            <w:tcW w:w="1170" w:type="dxa"/>
          </w:tcPr>
          <w:p w14:paraId="24919EF6" w14:textId="77777777" w:rsidR="00235411" w:rsidRDefault="00000000">
            <w:r>
              <w:rPr>
                <w:sz w:val="20"/>
              </w:rPr>
              <w:t>Revisión teórica y metodológica de la investigación científica.</w:t>
            </w:r>
          </w:p>
        </w:tc>
        <w:tc>
          <w:tcPr>
            <w:tcW w:w="1170" w:type="dxa"/>
          </w:tcPr>
          <w:p w14:paraId="018BFFEA" w14:textId="77777777" w:rsidR="00235411" w:rsidRDefault="00000000">
            <w:r>
              <w:rPr>
                <w:sz w:val="20"/>
              </w:rPr>
              <w:t>Una buena pregunta problema requiere claridad, relevancia práctica, viabilidad y un apoyo fuerte en los antecedentes hallados.</w:t>
            </w:r>
          </w:p>
        </w:tc>
        <w:tc>
          <w:tcPr>
            <w:tcW w:w="1170" w:type="dxa"/>
          </w:tcPr>
          <w:p w14:paraId="72E55E7D" w14:textId="77777777" w:rsidR="00235411" w:rsidRDefault="00000000">
            <w:r>
              <w:rPr>
                <w:sz w:val="20"/>
              </w:rPr>
              <w:t>Referencia principal para estructurar formalmente el anteproyecto, la justificación de la pregunta problema y la elaboración metodológi</w:t>
            </w:r>
            <w:r>
              <w:rPr>
                <w:sz w:val="20"/>
              </w:rPr>
              <w:lastRenderedPageBreak/>
              <w:t>ca del estado del arte.</w:t>
            </w:r>
          </w:p>
        </w:tc>
      </w:tr>
      <w:tr w:rsidR="00235411" w14:paraId="1B65F4D4" w14:textId="77777777">
        <w:tc>
          <w:tcPr>
            <w:tcW w:w="1170" w:type="dxa"/>
          </w:tcPr>
          <w:p w14:paraId="59DBC1E4" w14:textId="77777777" w:rsidR="00235411" w:rsidRDefault="00000000">
            <w:r>
              <w:rPr>
                <w:sz w:val="20"/>
              </w:rPr>
              <w:lastRenderedPageBreak/>
              <w:t>Artículo web (Institucional)</w:t>
            </w:r>
          </w:p>
        </w:tc>
        <w:tc>
          <w:tcPr>
            <w:tcW w:w="1170" w:type="dxa"/>
          </w:tcPr>
          <w:p w14:paraId="5EAA34C6" w14:textId="77777777" w:rsidR="00235411" w:rsidRDefault="00000000">
            <w:r>
              <w:rPr>
                <w:sz w:val="20"/>
              </w:rPr>
              <w:t>Cyberjustice Laboratory. (2025). Virtual Reality Reshaping Justice: Applications and Challenges of VR/AR Technology in Modern Courtrooms. Cyberjustice.</w:t>
            </w:r>
          </w:p>
        </w:tc>
        <w:tc>
          <w:tcPr>
            <w:tcW w:w="1170" w:type="dxa"/>
          </w:tcPr>
          <w:p w14:paraId="42B76DD1" w14:textId="77777777" w:rsidR="00235411" w:rsidRDefault="00000000">
            <w:r>
              <w:rPr>
                <w:sz w:val="20"/>
              </w:rPr>
              <w:t>Virtual Reality Reshaping Justice</w:t>
            </w:r>
          </w:p>
        </w:tc>
        <w:tc>
          <w:tcPr>
            <w:tcW w:w="1170" w:type="dxa"/>
          </w:tcPr>
          <w:p w14:paraId="11FCB542" w14:textId="77777777" w:rsidR="00235411" w:rsidRDefault="00000000">
            <w:r>
              <w:rPr>
                <w:sz w:val="20"/>
              </w:rPr>
              <w:t>Analiza de forma crítica los usos recientes de la VR y AR en tribunales para el análisis de evidencias y el desarrollo de audiencias inmersivas.</w:t>
            </w:r>
          </w:p>
        </w:tc>
        <w:tc>
          <w:tcPr>
            <w:tcW w:w="1170" w:type="dxa"/>
          </w:tcPr>
          <w:p w14:paraId="26C25FA6" w14:textId="77777777" w:rsidR="00235411" w:rsidRDefault="00000000">
            <w:r>
              <w:rPr>
                <w:sz w:val="20"/>
              </w:rPr>
              <w:t>Describir exhaustivamente las aplicaciones vigentes y retos tecnológicos de VR/AR en la justicia moderna.</w:t>
            </w:r>
          </w:p>
        </w:tc>
        <w:tc>
          <w:tcPr>
            <w:tcW w:w="1170" w:type="dxa"/>
          </w:tcPr>
          <w:p w14:paraId="09DC1F67" w14:textId="77777777" w:rsidR="00235411" w:rsidRDefault="00000000">
            <w:r>
              <w:rPr>
                <w:sz w:val="20"/>
              </w:rPr>
              <w:t>Revisión sistemática de experiencias internacionales, estudios de caso y análisis conceptual.</w:t>
            </w:r>
          </w:p>
        </w:tc>
        <w:tc>
          <w:tcPr>
            <w:tcW w:w="1170" w:type="dxa"/>
          </w:tcPr>
          <w:p w14:paraId="5CAD5974" w14:textId="77777777" w:rsidR="00235411" w:rsidRDefault="00000000">
            <w:r>
              <w:rPr>
                <w:sz w:val="20"/>
              </w:rPr>
              <w:t>Las tecnologías inmersivas mejoran dramáticamente la comprensión de evidencia, pero plantean grandes desafíos técnicos, de imparcialidad y costos.</w:t>
            </w:r>
          </w:p>
        </w:tc>
        <w:tc>
          <w:tcPr>
            <w:tcW w:w="1170" w:type="dxa"/>
          </w:tcPr>
          <w:p w14:paraId="014DA956" w14:textId="77777777" w:rsidR="00235411" w:rsidRDefault="00000000">
            <w:r>
              <w:rPr>
                <w:sz w:val="20"/>
              </w:rPr>
              <w:t>Constituye la base teórica internacional para argumentar que el uso de tecnologías XR en la Rama Judicial no es ficción sino una tendencia global comprobada.</w:t>
            </w:r>
          </w:p>
        </w:tc>
      </w:tr>
      <w:tr w:rsidR="00235411" w14:paraId="39042A4D" w14:textId="77777777">
        <w:tc>
          <w:tcPr>
            <w:tcW w:w="1170" w:type="dxa"/>
          </w:tcPr>
          <w:p w14:paraId="316E1F6A" w14:textId="77777777" w:rsidR="00235411" w:rsidRDefault="00000000">
            <w:r>
              <w:rPr>
                <w:sz w:val="20"/>
              </w:rPr>
              <w:t>Informe institucional</w:t>
            </w:r>
          </w:p>
        </w:tc>
        <w:tc>
          <w:tcPr>
            <w:tcW w:w="1170" w:type="dxa"/>
          </w:tcPr>
          <w:p w14:paraId="68B805E7" w14:textId="77777777" w:rsidR="00235411" w:rsidRDefault="00000000">
            <w:r>
              <w:rPr>
                <w:sz w:val="20"/>
              </w:rPr>
              <w:t xml:space="preserve">UNESCO. (2023). Exploring the Impact of Virtual </w:t>
            </w:r>
            <w:r>
              <w:rPr>
                <w:sz w:val="20"/>
              </w:rPr>
              <w:lastRenderedPageBreak/>
              <w:t>and Augmented Reality in Courts. Organización de las Naciones Unidas.</w:t>
            </w:r>
          </w:p>
        </w:tc>
        <w:tc>
          <w:tcPr>
            <w:tcW w:w="1170" w:type="dxa"/>
          </w:tcPr>
          <w:p w14:paraId="76C74FAF" w14:textId="77777777" w:rsidR="00235411" w:rsidRDefault="00000000">
            <w:r>
              <w:rPr>
                <w:sz w:val="20"/>
              </w:rPr>
              <w:lastRenderedPageBreak/>
              <w:t>Exploring the Impact of Virtual and Augmente</w:t>
            </w:r>
            <w:r>
              <w:rPr>
                <w:sz w:val="20"/>
              </w:rPr>
              <w:lastRenderedPageBreak/>
              <w:t>d Reality in Courts</w:t>
            </w:r>
          </w:p>
        </w:tc>
        <w:tc>
          <w:tcPr>
            <w:tcW w:w="1170" w:type="dxa"/>
          </w:tcPr>
          <w:p w14:paraId="5748F039" w14:textId="77777777" w:rsidR="00235411" w:rsidRDefault="00000000">
            <w:r>
              <w:rPr>
                <w:sz w:val="20"/>
              </w:rPr>
              <w:lastRenderedPageBreak/>
              <w:t xml:space="preserve">El informe explora desde la ONU las ventajas de </w:t>
            </w:r>
            <w:r>
              <w:rPr>
                <w:sz w:val="20"/>
              </w:rPr>
              <w:lastRenderedPageBreak/>
              <w:t>la VR/AR para la reconstrucción oficial de escenas complejas y recepción de testimonio remoto.</w:t>
            </w:r>
          </w:p>
        </w:tc>
        <w:tc>
          <w:tcPr>
            <w:tcW w:w="1170" w:type="dxa"/>
          </w:tcPr>
          <w:p w14:paraId="24349A18" w14:textId="77777777" w:rsidR="00235411" w:rsidRDefault="00000000">
            <w:r>
              <w:rPr>
                <w:sz w:val="20"/>
              </w:rPr>
              <w:lastRenderedPageBreak/>
              <w:t xml:space="preserve">Evaluar científicamente los beneficios y riesgos sistemáticos de </w:t>
            </w:r>
            <w:r>
              <w:rPr>
                <w:sz w:val="20"/>
              </w:rPr>
              <w:lastRenderedPageBreak/>
              <w:t>VR/AR en sistemas de administración judicial.</w:t>
            </w:r>
          </w:p>
        </w:tc>
        <w:tc>
          <w:tcPr>
            <w:tcW w:w="1170" w:type="dxa"/>
          </w:tcPr>
          <w:p w14:paraId="110846F7" w14:textId="77777777" w:rsidR="00235411" w:rsidRDefault="00000000">
            <w:r>
              <w:rPr>
                <w:sz w:val="20"/>
              </w:rPr>
              <w:lastRenderedPageBreak/>
              <w:t xml:space="preserve">Revisión institucional de casos de éxito y </w:t>
            </w:r>
            <w:r>
              <w:rPr>
                <w:sz w:val="20"/>
              </w:rPr>
              <w:lastRenderedPageBreak/>
              <w:t>evaluación cualitativa sobre acceso a justicia.</w:t>
            </w:r>
          </w:p>
        </w:tc>
        <w:tc>
          <w:tcPr>
            <w:tcW w:w="1170" w:type="dxa"/>
          </w:tcPr>
          <w:p w14:paraId="059726B5" w14:textId="77777777" w:rsidR="00235411" w:rsidRDefault="00000000">
            <w:r>
              <w:rPr>
                <w:sz w:val="20"/>
              </w:rPr>
              <w:lastRenderedPageBreak/>
              <w:t xml:space="preserve">Las tecnologías mejoran el acceso a los tribunales, </w:t>
            </w:r>
            <w:r>
              <w:rPr>
                <w:sz w:val="20"/>
              </w:rPr>
              <w:lastRenderedPageBreak/>
              <w:t>pero se necesitan salvaguardas legales fuertes contra sesgos cognitivos y vulneración del debido proceso.</w:t>
            </w:r>
          </w:p>
        </w:tc>
        <w:tc>
          <w:tcPr>
            <w:tcW w:w="1170" w:type="dxa"/>
          </w:tcPr>
          <w:p w14:paraId="12B4B158" w14:textId="77777777" w:rsidR="00235411" w:rsidRDefault="00000000">
            <w:r>
              <w:rPr>
                <w:sz w:val="20"/>
              </w:rPr>
              <w:lastRenderedPageBreak/>
              <w:t xml:space="preserve">Permite sustentar sólidamente el potencial </w:t>
            </w:r>
            <w:r>
              <w:rPr>
                <w:sz w:val="20"/>
              </w:rPr>
              <w:lastRenderedPageBreak/>
              <w:t>de utilizar visores XR inmersivos y ergonómicos en audiencias presenciales y a distancia en Colombia.</w:t>
            </w:r>
          </w:p>
        </w:tc>
      </w:tr>
      <w:tr w:rsidR="00235411" w14:paraId="4D00ED83" w14:textId="77777777">
        <w:tc>
          <w:tcPr>
            <w:tcW w:w="1170" w:type="dxa"/>
          </w:tcPr>
          <w:p w14:paraId="6FD7A1B0" w14:textId="77777777" w:rsidR="00235411" w:rsidRDefault="00000000">
            <w:r>
              <w:rPr>
                <w:sz w:val="20"/>
              </w:rPr>
              <w:lastRenderedPageBreak/>
              <w:t>Artículo científico</w:t>
            </w:r>
          </w:p>
        </w:tc>
        <w:tc>
          <w:tcPr>
            <w:tcW w:w="1170" w:type="dxa"/>
          </w:tcPr>
          <w:p w14:paraId="3E62D559" w14:textId="77777777" w:rsidR="00235411" w:rsidRDefault="00000000">
            <w:r>
              <w:rPr>
                <w:sz w:val="20"/>
              </w:rPr>
              <w:t>Bosland, J. et al. (2024). The constitutionality of virtual court hearings in the light of the COVID-19 pandemic. Revista de Derecho Digital.</w:t>
            </w:r>
          </w:p>
        </w:tc>
        <w:tc>
          <w:tcPr>
            <w:tcW w:w="1170" w:type="dxa"/>
          </w:tcPr>
          <w:p w14:paraId="709F8D46" w14:textId="77777777" w:rsidR="00235411" w:rsidRDefault="00000000">
            <w:r>
              <w:rPr>
                <w:sz w:val="20"/>
              </w:rPr>
              <w:t>The constitutionality of virtual court hearings in the light of the COVID-19 pandemic</w:t>
            </w:r>
          </w:p>
        </w:tc>
        <w:tc>
          <w:tcPr>
            <w:tcW w:w="1170" w:type="dxa"/>
          </w:tcPr>
          <w:p w14:paraId="33FB9D62" w14:textId="77777777" w:rsidR="00235411" w:rsidRDefault="00000000">
            <w:r>
              <w:rPr>
                <w:sz w:val="20"/>
              </w:rPr>
              <w:t>Analiza en perspectiva global el impacto de las audiencias virtuales en los derechos procesales, subrayando a Colombia como nación vanguardista al realizar audiencias en metaverso.</w:t>
            </w:r>
          </w:p>
        </w:tc>
        <w:tc>
          <w:tcPr>
            <w:tcW w:w="1170" w:type="dxa"/>
          </w:tcPr>
          <w:p w14:paraId="56D1821B" w14:textId="77777777" w:rsidR="00235411" w:rsidRDefault="00000000">
            <w:r>
              <w:rPr>
                <w:sz w:val="20"/>
              </w:rPr>
              <w:t>Evaluar jurídica y doctrinalmente la compatibilidad de infraestructuras virtuales judiciales con las garantías constitucionales ciudadanas.</w:t>
            </w:r>
          </w:p>
        </w:tc>
        <w:tc>
          <w:tcPr>
            <w:tcW w:w="1170" w:type="dxa"/>
          </w:tcPr>
          <w:p w14:paraId="3E7926EB" w14:textId="77777777" w:rsidR="00235411" w:rsidRDefault="00000000">
            <w:r>
              <w:rPr>
                <w:sz w:val="20"/>
              </w:rPr>
              <w:t>Análisis comparado jurídico, cualitativo descriptivo y revisión de literatura actual.</w:t>
            </w:r>
          </w:p>
        </w:tc>
        <w:tc>
          <w:tcPr>
            <w:tcW w:w="1170" w:type="dxa"/>
          </w:tcPr>
          <w:p w14:paraId="48D6C86F" w14:textId="77777777" w:rsidR="00235411" w:rsidRDefault="00000000">
            <w:r>
              <w:rPr>
                <w:sz w:val="20"/>
              </w:rPr>
              <w:t>La virtualización bien gestionada reduce costos e impulsa acceso a zonas marginales, siendo Colombia pionera aplicándolo en condiciones reales.</w:t>
            </w:r>
          </w:p>
        </w:tc>
        <w:tc>
          <w:tcPr>
            <w:tcW w:w="1170" w:type="dxa"/>
          </w:tcPr>
          <w:p w14:paraId="72D4139A" w14:textId="77777777" w:rsidR="00235411" w:rsidRDefault="00000000">
            <w:r>
              <w:rPr>
                <w:sz w:val="20"/>
              </w:rPr>
              <w:t>Ofrece el marco jurídico-constitucional indispensable para justificar un proyecto de investigación que propone innovación XR en juzgados colombiano</w:t>
            </w:r>
            <w:r>
              <w:rPr>
                <w:sz w:val="20"/>
              </w:rPr>
              <w:lastRenderedPageBreak/>
              <w:t>s.</w:t>
            </w:r>
          </w:p>
        </w:tc>
      </w:tr>
      <w:tr w:rsidR="00235411" w14:paraId="13F30D82" w14:textId="77777777">
        <w:tc>
          <w:tcPr>
            <w:tcW w:w="1170" w:type="dxa"/>
          </w:tcPr>
          <w:p w14:paraId="37A48A17" w14:textId="77777777" w:rsidR="00235411" w:rsidRDefault="00000000">
            <w:r>
              <w:rPr>
                <w:sz w:val="20"/>
              </w:rPr>
              <w:lastRenderedPageBreak/>
              <w:t>Investigación académica</w:t>
            </w:r>
          </w:p>
        </w:tc>
        <w:tc>
          <w:tcPr>
            <w:tcW w:w="1170" w:type="dxa"/>
          </w:tcPr>
          <w:p w14:paraId="3E52637B" w14:textId="77777777" w:rsidR="00235411" w:rsidRDefault="00000000">
            <w:r>
              <w:rPr>
                <w:sz w:val="20"/>
              </w:rPr>
              <w:t>Mughal, M. (2025). Virtually Unheard Of: Why Courts Need Rules for Virtual Reality Evidence. NC JOLT.</w:t>
            </w:r>
          </w:p>
        </w:tc>
        <w:tc>
          <w:tcPr>
            <w:tcW w:w="1170" w:type="dxa"/>
          </w:tcPr>
          <w:p w14:paraId="79BF3854" w14:textId="77777777" w:rsidR="00235411" w:rsidRDefault="00000000">
            <w:r>
              <w:rPr>
                <w:sz w:val="20"/>
              </w:rPr>
              <w:t>Virtually Unheard Of: Why Courts Need Rules for Virtual Reality Evidence</w:t>
            </w:r>
          </w:p>
        </w:tc>
        <w:tc>
          <w:tcPr>
            <w:tcW w:w="1170" w:type="dxa"/>
          </w:tcPr>
          <w:p w14:paraId="37E0D5C5" w14:textId="77777777" w:rsidR="00235411" w:rsidRDefault="00000000">
            <w:r>
              <w:rPr>
                <w:sz w:val="20"/>
              </w:rPr>
              <w:t>Sostiene firmemente que las legislaciones procesales carecen de reglas de validación probatoria de simulaciones producidas a través de XR, sugiriendo reformas.</w:t>
            </w:r>
          </w:p>
        </w:tc>
        <w:tc>
          <w:tcPr>
            <w:tcW w:w="1170" w:type="dxa"/>
          </w:tcPr>
          <w:p w14:paraId="4775A595" w14:textId="77777777" w:rsidR="00235411" w:rsidRDefault="00000000">
            <w:r>
              <w:rPr>
                <w:sz w:val="20"/>
              </w:rPr>
              <w:t>Proponer la conformación de estándares normativos para la admisibilidad legal de la evidencia en y producida por entornos virtuales y aumentados.</w:t>
            </w:r>
          </w:p>
        </w:tc>
        <w:tc>
          <w:tcPr>
            <w:tcW w:w="1170" w:type="dxa"/>
          </w:tcPr>
          <w:p w14:paraId="075E15C1" w14:textId="77777777" w:rsidR="00235411" w:rsidRDefault="00000000">
            <w:r>
              <w:rPr>
                <w:sz w:val="20"/>
              </w:rPr>
              <w:t>Análisis doctrinal riguroso sobre normas de procedimiento legal norteamericano en comparación al contexto internacional.</w:t>
            </w:r>
          </w:p>
        </w:tc>
        <w:tc>
          <w:tcPr>
            <w:tcW w:w="1170" w:type="dxa"/>
          </w:tcPr>
          <w:p w14:paraId="3F7551AC" w14:textId="77777777" w:rsidR="00235411" w:rsidRDefault="00000000">
            <w:r>
              <w:rPr>
                <w:sz w:val="20"/>
              </w:rPr>
              <w:t>Al ser ecosistemas que envuelven sensorialmente al juzgador, la XR exige un estándar más elevado de verificación para asegurar que influyen racional y no solo emocionalmente.</w:t>
            </w:r>
          </w:p>
        </w:tc>
        <w:tc>
          <w:tcPr>
            <w:tcW w:w="1170" w:type="dxa"/>
          </w:tcPr>
          <w:p w14:paraId="12CB150B" w14:textId="77777777" w:rsidR="00235411" w:rsidRDefault="00000000">
            <w:r>
              <w:rPr>
                <w:sz w:val="20"/>
              </w:rPr>
              <w:t>Integra un componente vital de análisis crítico: al utilizar gafas XR en despachos y vistas públicas, deben preverse reglamentaciones para neutralizar los vacíos de ciberseguridad probatoria.</w:t>
            </w:r>
          </w:p>
        </w:tc>
      </w:tr>
      <w:tr w:rsidR="00235411" w14:paraId="50BF01D6" w14:textId="77777777">
        <w:tc>
          <w:tcPr>
            <w:tcW w:w="1170" w:type="dxa"/>
          </w:tcPr>
          <w:p w14:paraId="6E59E4C7" w14:textId="77777777" w:rsidR="00235411" w:rsidRDefault="00000000">
            <w:r>
              <w:rPr>
                <w:sz w:val="20"/>
              </w:rPr>
              <w:t>Reporte institucional</w:t>
            </w:r>
          </w:p>
        </w:tc>
        <w:tc>
          <w:tcPr>
            <w:tcW w:w="1170" w:type="dxa"/>
          </w:tcPr>
          <w:p w14:paraId="09AA9B1C" w14:textId="77777777" w:rsidR="00235411" w:rsidRDefault="00000000">
            <w:r>
              <w:rPr>
                <w:sz w:val="20"/>
              </w:rPr>
              <w:t xml:space="preserve">Escuela Judicial Rodrigo Lara Bonilla. (2025). </w:t>
            </w:r>
            <w:r>
              <w:rPr>
                <w:sz w:val="20"/>
              </w:rPr>
              <w:lastRenderedPageBreak/>
              <w:t>Audiencias virtuales judiciales y transformación tecnológica. EJRLB.</w:t>
            </w:r>
          </w:p>
        </w:tc>
        <w:tc>
          <w:tcPr>
            <w:tcW w:w="1170" w:type="dxa"/>
          </w:tcPr>
          <w:p w14:paraId="710D3B8A" w14:textId="77777777" w:rsidR="00235411" w:rsidRDefault="00000000">
            <w:r>
              <w:rPr>
                <w:sz w:val="20"/>
              </w:rPr>
              <w:lastRenderedPageBreak/>
              <w:t xml:space="preserve">Audiencias virtuales judiciales y transformación </w:t>
            </w:r>
            <w:r>
              <w:rPr>
                <w:sz w:val="20"/>
              </w:rPr>
              <w:lastRenderedPageBreak/>
              <w:t>tecnológica</w:t>
            </w:r>
          </w:p>
        </w:tc>
        <w:tc>
          <w:tcPr>
            <w:tcW w:w="1170" w:type="dxa"/>
          </w:tcPr>
          <w:p w14:paraId="23B20A15" w14:textId="77777777" w:rsidR="00235411" w:rsidRDefault="00000000">
            <w:r>
              <w:rPr>
                <w:sz w:val="20"/>
              </w:rPr>
              <w:lastRenderedPageBreak/>
              <w:t xml:space="preserve">Expone detalladamente los lineamientos normativos y operativos </w:t>
            </w:r>
            <w:r>
              <w:rPr>
                <w:sz w:val="20"/>
              </w:rPr>
              <w:lastRenderedPageBreak/>
              <w:t>requeridos para el correcto desempeño de procesos virtuales y mixtos en la justicia nacional.</w:t>
            </w:r>
          </w:p>
        </w:tc>
        <w:tc>
          <w:tcPr>
            <w:tcW w:w="1170" w:type="dxa"/>
          </w:tcPr>
          <w:p w14:paraId="00397F28" w14:textId="77777777" w:rsidR="00235411" w:rsidRDefault="00000000">
            <w:r>
              <w:rPr>
                <w:sz w:val="20"/>
              </w:rPr>
              <w:lastRenderedPageBreak/>
              <w:t xml:space="preserve">Capacitar y ofrecer parámetros claros a jueces, secretarios y demás servidores </w:t>
            </w:r>
            <w:r>
              <w:rPr>
                <w:sz w:val="20"/>
              </w:rPr>
              <w:lastRenderedPageBreak/>
              <w:t>sobre el entorno legislativo de la justicia virtual en Colombia.</w:t>
            </w:r>
          </w:p>
        </w:tc>
        <w:tc>
          <w:tcPr>
            <w:tcW w:w="1170" w:type="dxa"/>
          </w:tcPr>
          <w:p w14:paraId="38CFC57F" w14:textId="77777777" w:rsidR="00235411" w:rsidRDefault="00000000">
            <w:r>
              <w:rPr>
                <w:sz w:val="20"/>
              </w:rPr>
              <w:lastRenderedPageBreak/>
              <w:t xml:space="preserve">Documento gubernamental descriptivo de </w:t>
            </w:r>
            <w:r>
              <w:rPr>
                <w:sz w:val="20"/>
              </w:rPr>
              <w:lastRenderedPageBreak/>
              <w:t>lineamientos internos operativos que integra el análisis DOFA judicial.</w:t>
            </w:r>
          </w:p>
        </w:tc>
        <w:tc>
          <w:tcPr>
            <w:tcW w:w="1170" w:type="dxa"/>
          </w:tcPr>
          <w:p w14:paraId="15D87A2C" w14:textId="77777777" w:rsidR="00235411" w:rsidRDefault="00000000">
            <w:r>
              <w:rPr>
                <w:sz w:val="20"/>
              </w:rPr>
              <w:lastRenderedPageBreak/>
              <w:t xml:space="preserve">La virtualización en el sistema está avalada con firmeza </w:t>
            </w:r>
            <w:r>
              <w:rPr>
                <w:sz w:val="20"/>
              </w:rPr>
              <w:lastRenderedPageBreak/>
              <w:t>legal (Ley 2213 de 2022) ofreciendo eficiencia altísima si los funcionarios dominan correctamente estas herramientas tecnológicas.</w:t>
            </w:r>
          </w:p>
        </w:tc>
        <w:tc>
          <w:tcPr>
            <w:tcW w:w="1170" w:type="dxa"/>
          </w:tcPr>
          <w:p w14:paraId="2CD3B477" w14:textId="77777777" w:rsidR="00235411" w:rsidRDefault="00000000">
            <w:r>
              <w:rPr>
                <w:sz w:val="20"/>
              </w:rPr>
              <w:lastRenderedPageBreak/>
              <w:t xml:space="preserve">Anota el contexto normativo local fundamental; todo </w:t>
            </w:r>
            <w:r>
              <w:rPr>
                <w:sz w:val="20"/>
              </w:rPr>
              <w:lastRenderedPageBreak/>
              <w:t>posible piloto de hardware XR debe adherirse a esta normativa, validando su pertinencia práctica en la gerencia judicial.</w:t>
            </w:r>
          </w:p>
        </w:tc>
      </w:tr>
      <w:tr w:rsidR="00235411" w14:paraId="66D2E8F4" w14:textId="77777777">
        <w:tc>
          <w:tcPr>
            <w:tcW w:w="1170" w:type="dxa"/>
          </w:tcPr>
          <w:p w14:paraId="4AB648F5" w14:textId="77777777" w:rsidR="00235411" w:rsidRDefault="00000000">
            <w:r>
              <w:rPr>
                <w:sz w:val="20"/>
              </w:rPr>
              <w:lastRenderedPageBreak/>
              <w:t>Estudio de caso</w:t>
            </w:r>
          </w:p>
        </w:tc>
        <w:tc>
          <w:tcPr>
            <w:tcW w:w="1170" w:type="dxa"/>
          </w:tcPr>
          <w:p w14:paraId="4E19AD27" w14:textId="77777777" w:rsidR="00235411" w:rsidRDefault="00000000">
            <w:r>
              <w:rPr>
                <w:sz w:val="20"/>
              </w:rPr>
              <w:t>Riguera, B. (2024). Colombian Court Conducts First Hearing in the Metaverse using Extended Reality. Inter-</w:t>
            </w:r>
            <w:r>
              <w:rPr>
                <w:sz w:val="20"/>
              </w:rPr>
              <w:lastRenderedPageBreak/>
              <w:t>American Law Review.</w:t>
            </w:r>
          </w:p>
        </w:tc>
        <w:tc>
          <w:tcPr>
            <w:tcW w:w="1170" w:type="dxa"/>
          </w:tcPr>
          <w:p w14:paraId="4A149C51" w14:textId="77777777" w:rsidR="00235411" w:rsidRDefault="00000000">
            <w:r>
              <w:rPr>
                <w:sz w:val="20"/>
              </w:rPr>
              <w:lastRenderedPageBreak/>
              <w:t>Colombian Court Conducts First Hearing in the Metaverse using Extended Reality</w:t>
            </w:r>
          </w:p>
        </w:tc>
        <w:tc>
          <w:tcPr>
            <w:tcW w:w="1170" w:type="dxa"/>
          </w:tcPr>
          <w:p w14:paraId="13BD9F87" w14:textId="77777777" w:rsidR="00235411" w:rsidRDefault="00000000">
            <w:r>
              <w:rPr>
                <w:sz w:val="20"/>
              </w:rPr>
              <w:t xml:space="preserve">Presenta una revisión y crónica de la primera sesión legal llevada a cabo integrando visores VR/XR para magistrados, apoderados y partes en </w:t>
            </w:r>
            <w:r>
              <w:rPr>
                <w:sz w:val="20"/>
              </w:rPr>
              <w:lastRenderedPageBreak/>
              <w:t>el Tribunal de Santa Marta, Colombia.</w:t>
            </w:r>
          </w:p>
        </w:tc>
        <w:tc>
          <w:tcPr>
            <w:tcW w:w="1170" w:type="dxa"/>
          </w:tcPr>
          <w:p w14:paraId="6C9DB82F" w14:textId="77777777" w:rsidR="00235411" w:rsidRDefault="00000000">
            <w:r>
              <w:rPr>
                <w:sz w:val="20"/>
              </w:rPr>
              <w:lastRenderedPageBreak/>
              <w:t>Analizar los resultados y complicaciones logísticas/procedimentales de interactuar inmersivamente mediante el metaverso y XR dentro del sistema de justicia colombiano.</w:t>
            </w:r>
          </w:p>
        </w:tc>
        <w:tc>
          <w:tcPr>
            <w:tcW w:w="1170" w:type="dxa"/>
          </w:tcPr>
          <w:p w14:paraId="79AFE17A" w14:textId="77777777" w:rsidR="00235411" w:rsidRDefault="00000000">
            <w:r>
              <w:rPr>
                <w:sz w:val="20"/>
              </w:rPr>
              <w:t xml:space="preserve">Estudio de un caso único práctico y recolección de las apreciaciones e incidencias expuestas durante las horas </w:t>
            </w:r>
            <w:r>
              <w:rPr>
                <w:sz w:val="20"/>
              </w:rPr>
              <w:lastRenderedPageBreak/>
              <w:t>de testimonio.</w:t>
            </w:r>
          </w:p>
        </w:tc>
        <w:tc>
          <w:tcPr>
            <w:tcW w:w="1170" w:type="dxa"/>
          </w:tcPr>
          <w:p w14:paraId="6B69EFA4" w14:textId="77777777" w:rsidR="00235411" w:rsidRDefault="00000000">
            <w:r>
              <w:rPr>
                <w:sz w:val="20"/>
              </w:rPr>
              <w:lastRenderedPageBreak/>
              <w:t>Buscando facilitar interacción a una víctima foránea, la plataforma habilitó presencia, pero abrió debates sobre infraestruct</w:t>
            </w:r>
            <w:r>
              <w:rPr>
                <w:sz w:val="20"/>
              </w:rPr>
              <w:lastRenderedPageBreak/>
              <w:t>ura en red. Expano los límites y ratifica que Colombia explora formalmente con hardware XR inmersivo.</w:t>
            </w:r>
          </w:p>
        </w:tc>
        <w:tc>
          <w:tcPr>
            <w:tcW w:w="1170" w:type="dxa"/>
          </w:tcPr>
          <w:p w14:paraId="5A1B5D30" w14:textId="77777777" w:rsidR="00235411" w:rsidRDefault="00000000">
            <w:r>
              <w:rPr>
                <w:sz w:val="20"/>
              </w:rPr>
              <w:lastRenderedPageBreak/>
              <w:t>Referente colombiano principal; al ser un piloto XR documentado, legitima un planteamiento de uso sistemático local y cotidiano.</w:t>
            </w:r>
          </w:p>
        </w:tc>
      </w:tr>
      <w:tr w:rsidR="00235411" w14:paraId="5D5F968E" w14:textId="77777777">
        <w:tc>
          <w:tcPr>
            <w:tcW w:w="1170" w:type="dxa"/>
          </w:tcPr>
          <w:p w14:paraId="443FD5C5" w14:textId="77777777" w:rsidR="00235411" w:rsidRDefault="00000000">
            <w:r>
              <w:rPr>
                <w:sz w:val="20"/>
              </w:rPr>
              <w:t>Artículo doctrinal</w:t>
            </w:r>
          </w:p>
        </w:tc>
        <w:tc>
          <w:tcPr>
            <w:tcW w:w="1170" w:type="dxa"/>
          </w:tcPr>
          <w:p w14:paraId="5FF8CD71" w14:textId="77777777" w:rsidR="00235411" w:rsidRDefault="00000000">
            <w:r>
              <w:rPr>
                <w:sz w:val="20"/>
              </w:rPr>
              <w:t>Schlegel, S. (2024). Augmented Reality (AR) in the Modern Courtroom. Legal Tech Quarterly.</w:t>
            </w:r>
          </w:p>
        </w:tc>
        <w:tc>
          <w:tcPr>
            <w:tcW w:w="1170" w:type="dxa"/>
          </w:tcPr>
          <w:p w14:paraId="66EE50F3" w14:textId="77777777" w:rsidR="00235411" w:rsidRDefault="00000000">
            <w:r>
              <w:rPr>
                <w:sz w:val="20"/>
              </w:rPr>
              <w:t>Augmented Reality (AR) in the Modern Courtroom</w:t>
            </w:r>
          </w:p>
        </w:tc>
        <w:tc>
          <w:tcPr>
            <w:tcW w:w="1170" w:type="dxa"/>
          </w:tcPr>
          <w:p w14:paraId="5FA45F81" w14:textId="77777777" w:rsidR="00235411" w:rsidRDefault="00000000">
            <w:r>
              <w:rPr>
                <w:sz w:val="20"/>
              </w:rPr>
              <w:t>Reflexión estructurada de un juez activo de circuito respecto del uso factible de visores híbridos (gafas AR) como medios para proyectar expedientes en sala transparentemente.</w:t>
            </w:r>
          </w:p>
        </w:tc>
        <w:tc>
          <w:tcPr>
            <w:tcW w:w="1170" w:type="dxa"/>
          </w:tcPr>
          <w:p w14:paraId="3FF0C0EA" w14:textId="77777777" w:rsidR="00235411" w:rsidRDefault="00000000">
            <w:r>
              <w:rPr>
                <w:sz w:val="20"/>
              </w:rPr>
              <w:t>Explorar de forma empírica y propositiva cómo proyecciones AR alteran y mejoran la gestión interinstitucional probatoria y administrativa evitando obstrucciones físicas.</w:t>
            </w:r>
          </w:p>
        </w:tc>
        <w:tc>
          <w:tcPr>
            <w:tcW w:w="1170" w:type="dxa"/>
          </w:tcPr>
          <w:p w14:paraId="12259DD0" w14:textId="77777777" w:rsidR="00235411" w:rsidRDefault="00000000">
            <w:r>
              <w:rPr>
                <w:sz w:val="20"/>
              </w:rPr>
              <w:t>Ensayo de aproximación reflexiva basado en experiencia participativa del autor en juicios híbridos.</w:t>
            </w:r>
          </w:p>
        </w:tc>
        <w:tc>
          <w:tcPr>
            <w:tcW w:w="1170" w:type="dxa"/>
          </w:tcPr>
          <w:p w14:paraId="4823EF02" w14:textId="77777777" w:rsidR="00235411" w:rsidRDefault="00000000">
            <w:r>
              <w:rPr>
                <w:sz w:val="20"/>
              </w:rPr>
              <w:t xml:space="preserve">Los dispositivos AR de pantalla transparente facilitan tener toda la documentación digital (miles de folios) en holograma frente a sí, respetando contacto ocular esencial </w:t>
            </w:r>
            <w:r>
              <w:rPr>
                <w:sz w:val="20"/>
              </w:rPr>
              <w:lastRenderedPageBreak/>
              <w:t>hacia declarantes y contrapartes.</w:t>
            </w:r>
          </w:p>
        </w:tc>
        <w:tc>
          <w:tcPr>
            <w:tcW w:w="1170" w:type="dxa"/>
          </w:tcPr>
          <w:p w14:paraId="2594ED47" w14:textId="77777777" w:rsidR="00235411" w:rsidRDefault="00000000">
            <w:r>
              <w:rPr>
                <w:sz w:val="20"/>
              </w:rPr>
              <w:lastRenderedPageBreak/>
              <w:t xml:space="preserve">Alienta exactamente la tesis formulada por este autor respecto al uso de las gafas de tecnología mixta orientadas a la optimización directa en la mesa del magistrado </w:t>
            </w:r>
            <w:r>
              <w:rPr>
                <w:sz w:val="20"/>
              </w:rPr>
              <w:lastRenderedPageBreak/>
              <w:t>y secretario judicial.</w:t>
            </w:r>
          </w:p>
        </w:tc>
      </w:tr>
      <w:tr w:rsidR="00235411" w14:paraId="67D5454D" w14:textId="77777777">
        <w:tc>
          <w:tcPr>
            <w:tcW w:w="1170" w:type="dxa"/>
          </w:tcPr>
          <w:p w14:paraId="371FB6A7" w14:textId="77777777" w:rsidR="00235411" w:rsidRDefault="00000000">
            <w:r>
              <w:rPr>
                <w:sz w:val="20"/>
              </w:rPr>
              <w:lastRenderedPageBreak/>
              <w:t>Informe empírico</w:t>
            </w:r>
          </w:p>
        </w:tc>
        <w:tc>
          <w:tcPr>
            <w:tcW w:w="1170" w:type="dxa"/>
          </w:tcPr>
          <w:p w14:paraId="56AF022D" w14:textId="77777777" w:rsidR="00235411" w:rsidRDefault="00000000">
            <w:r>
              <w:rPr>
                <w:sz w:val="20"/>
              </w:rPr>
              <w:t>Nuffield Family Justice Observatory. (2021). What we know about the impact of remote hearings on access to justice. NFJO.</w:t>
            </w:r>
          </w:p>
        </w:tc>
        <w:tc>
          <w:tcPr>
            <w:tcW w:w="1170" w:type="dxa"/>
          </w:tcPr>
          <w:p w14:paraId="12F36C91" w14:textId="77777777" w:rsidR="00235411" w:rsidRDefault="00000000">
            <w:r>
              <w:rPr>
                <w:sz w:val="20"/>
              </w:rPr>
              <w:t>What we know about the impact of remote hearings on access to justice</w:t>
            </w:r>
          </w:p>
        </w:tc>
        <w:tc>
          <w:tcPr>
            <w:tcW w:w="1170" w:type="dxa"/>
          </w:tcPr>
          <w:p w14:paraId="1F989F97" w14:textId="77777777" w:rsidR="00235411" w:rsidRDefault="00000000">
            <w:r>
              <w:rPr>
                <w:sz w:val="20"/>
              </w:rPr>
              <w:t>Una auditoría post-pandémica que balancea exhaustivamente los progresos operativos con las exclusiones sociotecnológicas nacidas de modelos judiciales en videoconferencia remota.</w:t>
            </w:r>
          </w:p>
        </w:tc>
        <w:tc>
          <w:tcPr>
            <w:tcW w:w="1170" w:type="dxa"/>
          </w:tcPr>
          <w:p w14:paraId="3D2F1E13" w14:textId="77777777" w:rsidR="00235411" w:rsidRDefault="00000000">
            <w:r>
              <w:rPr>
                <w:sz w:val="20"/>
              </w:rPr>
              <w:t>Identificar efectos diferenciados de audiencias tecnológicas en variables como la fatiga mental de funcionarios o inclusión de la sociedad marginal.</w:t>
            </w:r>
          </w:p>
        </w:tc>
        <w:tc>
          <w:tcPr>
            <w:tcW w:w="1170" w:type="dxa"/>
          </w:tcPr>
          <w:p w14:paraId="53A19DE9" w14:textId="77777777" w:rsidR="00235411" w:rsidRDefault="00000000">
            <w:r>
              <w:rPr>
                <w:sz w:val="20"/>
              </w:rPr>
              <w:t>Estudio sintético y revisión de intervenciones y estadísticas procesales durante los picos de las cortes en línea.</w:t>
            </w:r>
          </w:p>
        </w:tc>
        <w:tc>
          <w:tcPr>
            <w:tcW w:w="1170" w:type="dxa"/>
          </w:tcPr>
          <w:p w14:paraId="7A33D9C5" w14:textId="77777777" w:rsidR="00235411" w:rsidRDefault="00000000">
            <w:r>
              <w:rPr>
                <w:sz w:val="20"/>
              </w:rPr>
              <w:t>Las plataformas alivian significativamente el tiempo de trámite de congestión, pero su aplicación prolongada demanda hardware eficiente y amigable debido a la acentuada fatiga cognitiva digital.</w:t>
            </w:r>
          </w:p>
        </w:tc>
        <w:tc>
          <w:tcPr>
            <w:tcW w:w="1170" w:type="dxa"/>
          </w:tcPr>
          <w:p w14:paraId="32364A83" w14:textId="77777777" w:rsidR="00235411" w:rsidRDefault="00000000">
            <w:r>
              <w:rPr>
                <w:sz w:val="20"/>
              </w:rPr>
              <w:t>Argumenta la necesidad de buscar soportes de visualización XR más avanzados e integradores de ergonomía (peso bajo y proyección expansiva) en contraposición a usar múltiple monitor por 8+ horas.</w:t>
            </w:r>
          </w:p>
        </w:tc>
      </w:tr>
      <w:tr w:rsidR="00235411" w14:paraId="059DD277" w14:textId="77777777">
        <w:tc>
          <w:tcPr>
            <w:tcW w:w="1170" w:type="dxa"/>
          </w:tcPr>
          <w:p w14:paraId="7BD08046" w14:textId="77777777" w:rsidR="00235411" w:rsidRDefault="00000000">
            <w:r>
              <w:rPr>
                <w:sz w:val="20"/>
              </w:rPr>
              <w:t xml:space="preserve">Nota </w:t>
            </w:r>
            <w:r>
              <w:rPr>
                <w:sz w:val="20"/>
              </w:rPr>
              <w:lastRenderedPageBreak/>
              <w:t>técnica</w:t>
            </w:r>
          </w:p>
        </w:tc>
        <w:tc>
          <w:tcPr>
            <w:tcW w:w="1170" w:type="dxa"/>
          </w:tcPr>
          <w:p w14:paraId="08D5ED74" w14:textId="77777777" w:rsidR="00235411" w:rsidRDefault="00000000">
            <w:r>
              <w:rPr>
                <w:sz w:val="20"/>
              </w:rPr>
              <w:lastRenderedPageBreak/>
              <w:t xml:space="preserve">VR </w:t>
            </w:r>
            <w:r>
              <w:rPr>
                <w:sz w:val="20"/>
              </w:rPr>
              <w:lastRenderedPageBreak/>
              <w:t>Expert. (2025). Next-Gen XR Glasses Technical Evaluation for Enterprise Operations. Tech Review.</w:t>
            </w:r>
          </w:p>
        </w:tc>
        <w:tc>
          <w:tcPr>
            <w:tcW w:w="1170" w:type="dxa"/>
          </w:tcPr>
          <w:p w14:paraId="12031D89" w14:textId="77777777" w:rsidR="00235411" w:rsidRDefault="00000000">
            <w:r>
              <w:rPr>
                <w:sz w:val="20"/>
              </w:rPr>
              <w:lastRenderedPageBreak/>
              <w:t xml:space="preserve">Next-Gen </w:t>
            </w:r>
            <w:r>
              <w:rPr>
                <w:sz w:val="20"/>
              </w:rPr>
              <w:lastRenderedPageBreak/>
              <w:t>XR Glasses Technical Evaluation for Enterprise Operations</w:t>
            </w:r>
          </w:p>
        </w:tc>
        <w:tc>
          <w:tcPr>
            <w:tcW w:w="1170" w:type="dxa"/>
          </w:tcPr>
          <w:p w14:paraId="1C90D28F" w14:textId="77777777" w:rsidR="00235411" w:rsidRDefault="00000000">
            <w:r>
              <w:rPr>
                <w:sz w:val="20"/>
              </w:rPr>
              <w:lastRenderedPageBreak/>
              <w:t xml:space="preserve">Desglose </w:t>
            </w:r>
            <w:r>
              <w:rPr>
                <w:sz w:val="20"/>
              </w:rPr>
              <w:lastRenderedPageBreak/>
              <w:t>técnico formal que evalúa durabilidad, densidad de pixeles y tasas de refresco e interacciones hápticas en la implementación corporativa de hardware XR de última generación.</w:t>
            </w:r>
          </w:p>
        </w:tc>
        <w:tc>
          <w:tcPr>
            <w:tcW w:w="1170" w:type="dxa"/>
          </w:tcPr>
          <w:p w14:paraId="7AEA7DDB" w14:textId="77777777" w:rsidR="00235411" w:rsidRDefault="00000000">
            <w:r>
              <w:rPr>
                <w:sz w:val="20"/>
              </w:rPr>
              <w:lastRenderedPageBreak/>
              <w:t xml:space="preserve">Validar </w:t>
            </w:r>
            <w:r>
              <w:rPr>
                <w:sz w:val="20"/>
              </w:rPr>
              <w:lastRenderedPageBreak/>
              <w:t>experimentalmente su utilidad en ambientes profesionales altamente exigentes de trabajo administrativo multiventana sin perder el contexto periférico del usuario.</w:t>
            </w:r>
          </w:p>
        </w:tc>
        <w:tc>
          <w:tcPr>
            <w:tcW w:w="1170" w:type="dxa"/>
          </w:tcPr>
          <w:p w14:paraId="10EB2675" w14:textId="77777777" w:rsidR="00235411" w:rsidRDefault="00000000">
            <w:r>
              <w:rPr>
                <w:sz w:val="20"/>
              </w:rPr>
              <w:lastRenderedPageBreak/>
              <w:t>Evaluació</w:t>
            </w:r>
            <w:r>
              <w:rPr>
                <w:sz w:val="20"/>
              </w:rPr>
              <w:lastRenderedPageBreak/>
              <w:t>n cuali-cuantitativa de ingeniería en usabilidad, ergonomía óptica e inmersión selectiva.</w:t>
            </w:r>
          </w:p>
        </w:tc>
        <w:tc>
          <w:tcPr>
            <w:tcW w:w="1170" w:type="dxa"/>
          </w:tcPr>
          <w:p w14:paraId="282F1F90" w14:textId="77777777" w:rsidR="00235411" w:rsidRDefault="00000000">
            <w:r>
              <w:rPr>
                <w:sz w:val="20"/>
              </w:rPr>
              <w:lastRenderedPageBreak/>
              <w:t xml:space="preserve">Supera a los </w:t>
            </w:r>
            <w:r>
              <w:rPr>
                <w:sz w:val="20"/>
              </w:rPr>
              <w:lastRenderedPageBreak/>
              <w:t>visores opacos completos (VR puro); sus características ligeras (80g) y anclaje fácil a portátiles hacen la herramienta ideal y escalable para espacios administrativos donde se alternan labores presenciales.</w:t>
            </w:r>
          </w:p>
        </w:tc>
        <w:tc>
          <w:tcPr>
            <w:tcW w:w="1170" w:type="dxa"/>
          </w:tcPr>
          <w:p w14:paraId="32DA8E9C" w14:textId="77777777" w:rsidR="00235411" w:rsidRDefault="00000000">
            <w:r>
              <w:rPr>
                <w:sz w:val="20"/>
              </w:rPr>
              <w:lastRenderedPageBreak/>
              <w:t xml:space="preserve">Responde </w:t>
            </w:r>
            <w:r>
              <w:rPr>
                <w:sz w:val="20"/>
              </w:rPr>
              <w:lastRenderedPageBreak/>
              <w:t>afirmativamente la viabilidad empírica planteada en la problemática; el software judicial puede ejecutarse y fluir con eficiencia al acoplar interfaces web estándar en este hardware sin necesidad de rediseños.</w:t>
            </w:r>
          </w:p>
        </w:tc>
      </w:tr>
    </w:tbl>
    <w:p w14:paraId="129FBFE7" w14:textId="77777777" w:rsidR="00235411" w:rsidRDefault="00000000">
      <w:r>
        <w:lastRenderedPageBreak/>
        <w:br w:type="page"/>
      </w:r>
    </w:p>
    <w:p w14:paraId="1591BBE4" w14:textId="77777777" w:rsidR="00235411" w:rsidRDefault="00000000">
      <w:pPr>
        <w:jc w:val="center"/>
      </w:pPr>
      <w:r>
        <w:rPr>
          <w:b/>
        </w:rPr>
        <w:lastRenderedPageBreak/>
        <w:t>Referencias</w:t>
      </w:r>
    </w:p>
    <w:p w14:paraId="12E1CB6F" w14:textId="77777777" w:rsidR="00235411" w:rsidRDefault="00000000">
      <w:pPr>
        <w:ind w:left="720" w:hanging="720"/>
      </w:pPr>
      <w:r>
        <w:t>Bosland, J. et al. (2024). The constitutionality of virtual court hearings in the light of the COVID-19 pandemic. Revista de Derecho Digital.</w:t>
      </w:r>
    </w:p>
    <w:p w14:paraId="7B461E3D" w14:textId="77777777" w:rsidR="00235411" w:rsidRDefault="00000000">
      <w:pPr>
        <w:ind w:left="720" w:hanging="720"/>
      </w:pPr>
      <w:r>
        <w:t>Cyberjustice Laboratory. (2025). Virtual Reality Reshaping Justice: Applications and Challenges of VR/AR Technology in Modern Courtrooms. Cyberjustice.</w:t>
      </w:r>
    </w:p>
    <w:p w14:paraId="4C02FDD9" w14:textId="77777777" w:rsidR="00235411" w:rsidRDefault="00000000">
      <w:pPr>
        <w:ind w:left="720" w:hanging="720"/>
      </w:pPr>
      <w:r>
        <w:t>Escuela Judicial Rodrigo Lara Bonilla. (2025). Audiencias virtuales judiciales y transformación tecnológica. EJRLB.</w:t>
      </w:r>
    </w:p>
    <w:p w14:paraId="29D1590E" w14:textId="77777777" w:rsidR="00235411" w:rsidRDefault="00000000">
      <w:pPr>
        <w:ind w:left="720" w:hanging="720"/>
      </w:pPr>
      <w:r>
        <w:t>Hernández-Sampieri, R., &amp; Mendoza, C. (2018). Metodología de la investigación: Las rutas cuantitativa, cualitativa y mixta. McGraw-Hill.</w:t>
      </w:r>
    </w:p>
    <w:p w14:paraId="5F524527" w14:textId="77777777" w:rsidR="00235411" w:rsidRDefault="00000000">
      <w:pPr>
        <w:ind w:left="720" w:hanging="720"/>
      </w:pPr>
      <w:r>
        <w:t>Mughal, M. (2025). Virtually Unheard Of: Why Courts Need Rules for Virtual Reality Evidence. NC JOLT.</w:t>
      </w:r>
    </w:p>
    <w:p w14:paraId="7233C58D" w14:textId="77777777" w:rsidR="00235411" w:rsidRDefault="00000000">
      <w:pPr>
        <w:ind w:left="720" w:hanging="720"/>
      </w:pPr>
      <w:r>
        <w:t>Nuffield Family Justice Observatory. (2021). What we know about the impact of remote hearings on access to justice. NFJO.</w:t>
      </w:r>
    </w:p>
    <w:p w14:paraId="472EB100" w14:textId="77777777" w:rsidR="00235411" w:rsidRDefault="00000000">
      <w:pPr>
        <w:ind w:left="720" w:hanging="720"/>
      </w:pPr>
      <w:r>
        <w:t>Riguera, B. (2024). Colombian Court Conducts First Hearing in the Metaverse using Extended Reality. Inter-American Law Review.</w:t>
      </w:r>
    </w:p>
    <w:p w14:paraId="654933BA" w14:textId="77777777" w:rsidR="00235411" w:rsidRDefault="00000000">
      <w:pPr>
        <w:ind w:left="720" w:hanging="720"/>
      </w:pPr>
      <w:r>
        <w:t>Schlegel, S. (2024). Augmented Reality (AR) in the Modern Courtroom. Legal Tech Quarterly.</w:t>
      </w:r>
    </w:p>
    <w:p w14:paraId="44524189" w14:textId="77777777" w:rsidR="00235411" w:rsidRDefault="00000000">
      <w:pPr>
        <w:ind w:left="720" w:hanging="720"/>
      </w:pPr>
      <w:r>
        <w:t>UNESCO. (2023). Exploring the Impact of Virtual and Augmented Reality in Courts. Organización de las Naciones Unidas.</w:t>
      </w:r>
    </w:p>
    <w:p w14:paraId="22A8EBE1" w14:textId="77777777" w:rsidR="00235411" w:rsidRDefault="00000000">
      <w:pPr>
        <w:ind w:left="720" w:hanging="720"/>
      </w:pPr>
      <w:r>
        <w:t>VR Expert. (2025). Next-Gen XR Glasses Technical Evaluation for Enterprise Operations. Tech Review.</w:t>
      </w:r>
    </w:p>
    <w:sectPr w:rsidR="00235411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3805041">
    <w:abstractNumId w:val="8"/>
  </w:num>
  <w:num w:numId="2" w16cid:durableId="1994869765">
    <w:abstractNumId w:val="6"/>
  </w:num>
  <w:num w:numId="3" w16cid:durableId="1810630277">
    <w:abstractNumId w:val="5"/>
  </w:num>
  <w:num w:numId="4" w16cid:durableId="1725638224">
    <w:abstractNumId w:val="4"/>
  </w:num>
  <w:num w:numId="5" w16cid:durableId="500854461">
    <w:abstractNumId w:val="7"/>
  </w:num>
  <w:num w:numId="6" w16cid:durableId="994796077">
    <w:abstractNumId w:val="3"/>
  </w:num>
  <w:num w:numId="7" w16cid:durableId="147065325">
    <w:abstractNumId w:val="2"/>
  </w:num>
  <w:num w:numId="8" w16cid:durableId="1645430497">
    <w:abstractNumId w:val="1"/>
  </w:num>
  <w:num w:numId="9" w16cid:durableId="136644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5411"/>
    <w:rsid w:val="0029639D"/>
    <w:rsid w:val="00326F90"/>
    <w:rsid w:val="00775566"/>
    <w:rsid w:val="00AA1D8D"/>
    <w:rsid w:val="00B47730"/>
    <w:rsid w:val="00CB0664"/>
    <w:rsid w:val="00D775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A9DCF"/>
  <w14:defaultImageDpi w14:val="300"/>
  <w15:docId w15:val="{282720E7-45F7-B349-9B7E-561CF982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48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1701</Words>
  <Characters>10649</Characters>
  <Application>Microsoft Office Word</Application>
  <DocSecurity>0</DocSecurity>
  <Lines>1084</Lines>
  <Paragraphs>113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Oviedo Fadul</dc:creator>
  <cp:keywords/>
  <dc:description>generated by Alexander Oviedo Fadul</dc:description>
  <cp:lastModifiedBy>Alexander Oviedo Fadul</cp:lastModifiedBy>
  <cp:revision>2</cp:revision>
  <dcterms:created xsi:type="dcterms:W3CDTF">2013-12-23T23:15:00Z</dcterms:created>
  <dcterms:modified xsi:type="dcterms:W3CDTF">2026-04-05T18:44:00Z</dcterms:modified>
  <cp:category/>
</cp:coreProperties>
</file>