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4C28" w14:textId="77777777" w:rsidR="00F451F1" w:rsidRDefault="00F451F1"/>
    <w:p w14:paraId="46EE7379" w14:textId="77777777" w:rsidR="00F451F1" w:rsidRDefault="00F451F1"/>
    <w:p w14:paraId="44D0B3BC" w14:textId="77777777" w:rsidR="00F451F1" w:rsidRDefault="00F451F1"/>
    <w:p w14:paraId="158C17C7" w14:textId="77777777" w:rsidR="00F451F1" w:rsidRDefault="00F451F1"/>
    <w:p w14:paraId="3A78F706" w14:textId="77777777" w:rsidR="00F451F1" w:rsidRDefault="00F451F1"/>
    <w:p w14:paraId="4DA970D4" w14:textId="77777777" w:rsidR="00F451F1" w:rsidRDefault="00F451F1"/>
    <w:p w14:paraId="785A5213" w14:textId="77777777" w:rsidR="00F451F1" w:rsidRDefault="004A66F2">
      <w:pPr>
        <w:jc w:val="center"/>
      </w:pPr>
      <w:r>
        <w:rPr>
          <w:b/>
        </w:rPr>
        <w:t>Computación Espacial y Realidad Extendida en la Administración de Justicia:</w:t>
      </w:r>
      <w:r>
        <w:rPr>
          <w:b/>
        </w:rPr>
        <w:br/>
        <w:t>Un Estudio sobre el Impacto de Dispositivos XR en la Gestión de Despachos, Audiencias y</w:t>
      </w:r>
      <w:r>
        <w:rPr>
          <w:b/>
        </w:rPr>
        <w:br/>
        <w:t>Direcciones Administrativas de la Rama Judicial Colombiana (2026-2028)</w:t>
      </w:r>
    </w:p>
    <w:p w14:paraId="3C0B93AC" w14:textId="77777777" w:rsidR="00F451F1" w:rsidRDefault="00F451F1"/>
    <w:p w14:paraId="232CEF33" w14:textId="77777777" w:rsidR="00F451F1" w:rsidRDefault="004A66F2">
      <w:pPr>
        <w:jc w:val="center"/>
      </w:pPr>
      <w:r>
        <w:t>Alexander Oviedo Fadul</w:t>
      </w:r>
    </w:p>
    <w:p w14:paraId="0DE13678" w14:textId="77777777" w:rsidR="00F451F1" w:rsidRDefault="004A66F2">
      <w:pPr>
        <w:jc w:val="center"/>
      </w:pPr>
      <w:r>
        <w:t>Neheman Samir Jaller Cerchiaro</w:t>
      </w:r>
    </w:p>
    <w:p w14:paraId="13F36340" w14:textId="77777777" w:rsidR="00F451F1" w:rsidRDefault="00F451F1">
      <w:pPr>
        <w:jc w:val="center"/>
      </w:pPr>
    </w:p>
    <w:p w14:paraId="7B3356ED" w14:textId="77777777" w:rsidR="00F451F1" w:rsidRDefault="004A66F2">
      <w:pPr>
        <w:jc w:val="center"/>
      </w:pPr>
      <w:r>
        <w:t>Corporación Universitaria Minuto de Dios</w:t>
      </w:r>
    </w:p>
    <w:p w14:paraId="7B9AC9A4" w14:textId="77777777" w:rsidR="00F451F1" w:rsidRDefault="004A66F2">
      <w:pPr>
        <w:jc w:val="center"/>
      </w:pPr>
      <w:r>
        <w:t>Especialización en Inteligencia Artificial</w:t>
      </w:r>
    </w:p>
    <w:p w14:paraId="7C36890B" w14:textId="77777777" w:rsidR="00F451F1" w:rsidRDefault="004A66F2">
      <w:pPr>
        <w:jc w:val="center"/>
      </w:pPr>
      <w:r>
        <w:t>NRC-199: Investigación Aplicada</w:t>
      </w:r>
    </w:p>
    <w:p w14:paraId="53345D90" w14:textId="77777777" w:rsidR="00F451F1" w:rsidRDefault="00F451F1">
      <w:pPr>
        <w:jc w:val="center"/>
      </w:pPr>
    </w:p>
    <w:p w14:paraId="1AF62CD0" w14:textId="77777777" w:rsidR="00F451F1" w:rsidRDefault="004A66F2">
      <w:pPr>
        <w:jc w:val="center"/>
      </w:pPr>
      <w:r>
        <w:t>Profesora: Fanny Elizabeth Sacristán Bohórquez</w:t>
      </w:r>
    </w:p>
    <w:p w14:paraId="7121F6AF" w14:textId="77777777" w:rsidR="00F451F1" w:rsidRDefault="00F451F1">
      <w:pPr>
        <w:jc w:val="center"/>
      </w:pPr>
    </w:p>
    <w:p w14:paraId="3F019095" w14:textId="77777777" w:rsidR="00F451F1" w:rsidRDefault="004A66F2">
      <w:pPr>
        <w:jc w:val="center"/>
      </w:pPr>
      <w:r>
        <w:t>20 de abril de 2026</w:t>
      </w:r>
    </w:p>
    <w:p w14:paraId="3A148B75" w14:textId="77777777" w:rsidR="00F451F1" w:rsidRDefault="004A66F2">
      <w:r>
        <w:br w:type="page"/>
      </w:r>
    </w:p>
    <w:p w14:paraId="4136CD7D" w14:textId="77777777" w:rsidR="00F451F1" w:rsidRDefault="004A66F2">
      <w:pPr>
        <w:jc w:val="center"/>
      </w:pPr>
      <w:r>
        <w:rPr>
          <w:b/>
        </w:rPr>
        <w:lastRenderedPageBreak/>
        <w:t>Tabla de Contenido</w:t>
      </w:r>
    </w:p>
    <w:p w14:paraId="6E7600E9" w14:textId="77777777" w:rsidR="00F451F1" w:rsidRDefault="00F451F1"/>
    <w:p w14:paraId="071EDC6C" w14:textId="6869A4B3" w:rsidR="00F451F1" w:rsidRDefault="00F451F1">
      <w:pPr>
        <w:ind w:left="720"/>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0"/>
        <w:gridCol w:w="1046"/>
      </w:tblGrid>
      <w:tr w:rsidR="0071388D" w14:paraId="0F79F071" w14:textId="77777777" w:rsidTr="0071388D">
        <w:tc>
          <w:tcPr>
            <w:tcW w:w="7752" w:type="dxa"/>
          </w:tcPr>
          <w:p w14:paraId="7EEAF82F" w14:textId="1362C717" w:rsidR="0071388D" w:rsidRDefault="0071388D" w:rsidP="0071388D">
            <w:pPr>
              <w:ind w:left="720"/>
            </w:pPr>
            <w:r>
              <w:t>Planteamiento del Problema…………………………………………….</w:t>
            </w:r>
          </w:p>
        </w:tc>
        <w:tc>
          <w:tcPr>
            <w:tcW w:w="1104" w:type="dxa"/>
          </w:tcPr>
          <w:p w14:paraId="17400E86" w14:textId="566F5F2D" w:rsidR="0071388D" w:rsidRDefault="0071388D">
            <w:r>
              <w:t>3</w:t>
            </w:r>
          </w:p>
        </w:tc>
      </w:tr>
      <w:tr w:rsidR="0071388D" w14:paraId="78D243DA" w14:textId="77777777" w:rsidTr="0071388D">
        <w:tc>
          <w:tcPr>
            <w:tcW w:w="7752" w:type="dxa"/>
          </w:tcPr>
          <w:p w14:paraId="5409D6A6" w14:textId="40F85A48" w:rsidR="0071388D" w:rsidRDefault="0071388D" w:rsidP="0071388D">
            <w:pPr>
              <w:ind w:left="720"/>
            </w:pPr>
            <w:r>
              <w:t>Justificación……………………………………………………………..</w:t>
            </w:r>
          </w:p>
        </w:tc>
        <w:tc>
          <w:tcPr>
            <w:tcW w:w="1104" w:type="dxa"/>
          </w:tcPr>
          <w:p w14:paraId="187C6F9B" w14:textId="678C07BD" w:rsidR="0071388D" w:rsidRDefault="0071388D">
            <w:r>
              <w:t>5</w:t>
            </w:r>
          </w:p>
        </w:tc>
      </w:tr>
      <w:tr w:rsidR="0071388D" w14:paraId="4DCC3FB6" w14:textId="77777777" w:rsidTr="0071388D">
        <w:tc>
          <w:tcPr>
            <w:tcW w:w="7752" w:type="dxa"/>
          </w:tcPr>
          <w:p w14:paraId="35820B64" w14:textId="00E32445" w:rsidR="0071388D" w:rsidRDefault="0071388D" w:rsidP="0071388D">
            <w:pPr>
              <w:ind w:left="720"/>
            </w:pPr>
            <w:r>
              <w:t>Objetivos………………………………………………………………...</w:t>
            </w:r>
          </w:p>
        </w:tc>
        <w:tc>
          <w:tcPr>
            <w:tcW w:w="1104" w:type="dxa"/>
          </w:tcPr>
          <w:p w14:paraId="58FBC548" w14:textId="1EAB654A" w:rsidR="0071388D" w:rsidRDefault="0071388D">
            <w:r>
              <w:t>6</w:t>
            </w:r>
          </w:p>
        </w:tc>
      </w:tr>
      <w:tr w:rsidR="0071388D" w14:paraId="5E5F4993" w14:textId="77777777" w:rsidTr="0071388D">
        <w:tc>
          <w:tcPr>
            <w:tcW w:w="7752" w:type="dxa"/>
          </w:tcPr>
          <w:p w14:paraId="2FB4F9D1" w14:textId="2EFBD3EC" w:rsidR="0071388D" w:rsidRDefault="0071388D" w:rsidP="0071388D">
            <w:pPr>
              <w:ind w:left="720"/>
            </w:pPr>
            <w:r>
              <w:t>Hipótesis………………………………………………………………...</w:t>
            </w:r>
          </w:p>
        </w:tc>
        <w:tc>
          <w:tcPr>
            <w:tcW w:w="1104" w:type="dxa"/>
          </w:tcPr>
          <w:p w14:paraId="4CE09274" w14:textId="41638F90" w:rsidR="0071388D" w:rsidRDefault="0071388D">
            <w:r>
              <w:t>7</w:t>
            </w:r>
          </w:p>
        </w:tc>
      </w:tr>
      <w:tr w:rsidR="0071388D" w14:paraId="2CE5BB3D" w14:textId="77777777" w:rsidTr="0071388D">
        <w:tc>
          <w:tcPr>
            <w:tcW w:w="7752" w:type="dxa"/>
          </w:tcPr>
          <w:p w14:paraId="089679A7" w14:textId="1E1E8F90" w:rsidR="0071388D" w:rsidRDefault="0071388D" w:rsidP="0071388D">
            <w:pPr>
              <w:ind w:left="720"/>
            </w:pPr>
            <w:r>
              <w:t>Delimitación y Alcance…………………………………………………</w:t>
            </w:r>
          </w:p>
        </w:tc>
        <w:tc>
          <w:tcPr>
            <w:tcW w:w="1104" w:type="dxa"/>
          </w:tcPr>
          <w:p w14:paraId="0FC5A8B4" w14:textId="78D3C908" w:rsidR="0071388D" w:rsidRDefault="0071388D">
            <w:r>
              <w:t>8</w:t>
            </w:r>
          </w:p>
        </w:tc>
      </w:tr>
      <w:tr w:rsidR="0071388D" w14:paraId="5FEF5431" w14:textId="77777777" w:rsidTr="0071388D">
        <w:tc>
          <w:tcPr>
            <w:tcW w:w="7752" w:type="dxa"/>
          </w:tcPr>
          <w:p w14:paraId="0F58F239" w14:textId="2FFF47AC" w:rsidR="0071388D" w:rsidRDefault="0071388D" w:rsidP="00E2574C">
            <w:pPr>
              <w:ind w:left="720"/>
            </w:pPr>
            <w:r>
              <w:t>Marco de Referencia……………………………………………………</w:t>
            </w:r>
          </w:p>
        </w:tc>
        <w:tc>
          <w:tcPr>
            <w:tcW w:w="1104" w:type="dxa"/>
          </w:tcPr>
          <w:p w14:paraId="625131C6" w14:textId="1368471A" w:rsidR="0071388D" w:rsidRDefault="0071388D" w:rsidP="00E2574C">
            <w:r>
              <w:t>10</w:t>
            </w:r>
          </w:p>
        </w:tc>
      </w:tr>
      <w:tr w:rsidR="0071388D" w14:paraId="3F47D52C" w14:textId="77777777" w:rsidTr="0071388D">
        <w:tc>
          <w:tcPr>
            <w:tcW w:w="7752" w:type="dxa"/>
          </w:tcPr>
          <w:p w14:paraId="044CCF55" w14:textId="7DF6D7C7" w:rsidR="0071388D" w:rsidRDefault="0071388D" w:rsidP="0071388D">
            <w:pPr>
              <w:ind w:left="720"/>
            </w:pPr>
            <w:r>
              <w:t>Desarrollo Metodológico……………………………………………….</w:t>
            </w:r>
          </w:p>
        </w:tc>
        <w:tc>
          <w:tcPr>
            <w:tcW w:w="1104" w:type="dxa"/>
          </w:tcPr>
          <w:p w14:paraId="11BA9DE3" w14:textId="09E1B574" w:rsidR="0071388D" w:rsidRDefault="0071388D">
            <w:r>
              <w:t>14</w:t>
            </w:r>
          </w:p>
        </w:tc>
      </w:tr>
      <w:tr w:rsidR="0071388D" w14:paraId="2E814EF5" w14:textId="77777777" w:rsidTr="0071388D">
        <w:tc>
          <w:tcPr>
            <w:tcW w:w="7752" w:type="dxa"/>
          </w:tcPr>
          <w:p w14:paraId="059867CD" w14:textId="0A038B4B" w:rsidR="0071388D" w:rsidRDefault="0071388D" w:rsidP="0071388D">
            <w:pPr>
              <w:ind w:left="720"/>
            </w:pPr>
            <w:r>
              <w:t>Referencias……………………………………………………………...</w:t>
            </w:r>
          </w:p>
        </w:tc>
        <w:tc>
          <w:tcPr>
            <w:tcW w:w="1104" w:type="dxa"/>
          </w:tcPr>
          <w:p w14:paraId="42D2DD51" w14:textId="7A12D771" w:rsidR="0071388D" w:rsidRDefault="0071388D">
            <w:r>
              <w:t>16</w:t>
            </w:r>
          </w:p>
        </w:tc>
      </w:tr>
    </w:tbl>
    <w:p w14:paraId="46838DA3" w14:textId="77777777" w:rsidR="0071388D" w:rsidRDefault="0071388D">
      <w:pPr>
        <w:ind w:left="720"/>
      </w:pPr>
    </w:p>
    <w:p w14:paraId="426B8732" w14:textId="77777777" w:rsidR="00F451F1" w:rsidRDefault="004A66F2">
      <w:r>
        <w:br w:type="page"/>
      </w:r>
    </w:p>
    <w:p w14:paraId="322E5032" w14:textId="77777777" w:rsidR="00F451F1" w:rsidRDefault="004A66F2">
      <w:pPr>
        <w:jc w:val="center"/>
      </w:pPr>
      <w:r>
        <w:rPr>
          <w:b/>
        </w:rPr>
        <w:lastRenderedPageBreak/>
        <w:t>Planteamiento del Problema</w:t>
      </w:r>
    </w:p>
    <w:p w14:paraId="35C76F7F" w14:textId="77777777" w:rsidR="00F451F1" w:rsidRDefault="00F451F1"/>
    <w:p w14:paraId="3F0D331A" w14:textId="77777777" w:rsidR="00F451F1" w:rsidRDefault="004A66F2">
      <w:pPr>
        <w:ind w:firstLine="720"/>
      </w:pPr>
      <w:r>
        <w:t>La Rama Judicial de Colombia gestiona actualmente más de 1,8 millones de procesos activos anuales, cifra que refleja una congestión estructural crónica cuya resolución ha demandado décadas de reformas procesales sin lograr una transformación sistémica de fondo (Consejo Superior de la Judicatura, 2023). Los intentos de modernización, desde la digitalización de expedientes y la virtualización de audiencias por mandato de la Ley 2213 de 2022, representan avances significativos; sin embargo, continúan operando bajo paradigmas cognitivos y ergonómicos propios de la era del papel: pantallas bidimensionales planas, interfaces de usuario heredadas y flujos de trabajo que no han sido rediseñados para aprovechar el potencial de las tecnologías emergentes de computación espacial.</w:t>
      </w:r>
    </w:p>
    <w:p w14:paraId="786E4FB9" w14:textId="77777777" w:rsidR="00F451F1" w:rsidRDefault="004A66F2">
      <w:pPr>
        <w:ind w:firstLine="720"/>
      </w:pPr>
      <w:r>
        <w:t>Los funcionarios judiciales —jueces, magistrados, sustanciadores y secretarios— se enfrentan diariamente a una problemática de sobrecarga informacional sin precedentes. La revisión de expedientes electrónicos en monitores convencionales genera niveles documentados de fatiga visual y estrés cognitivo que deterioran la calidad del razonamiento jurídico (Siemsen et al., 2022). Paralelamente, las audiencias virtuales realizadas en plataformas bidimensionales como Zoom o Teams erosionan el principio constitucional de inmediación, al limitar la percepción de la comunicación no verbal, la valoración integral del lenguaje corporal de los declarantes y la solemnidad inherente al acto jurisdiccional (Universidad de los Andes, 2023).</w:t>
      </w:r>
    </w:p>
    <w:p w14:paraId="3AF55FE6" w14:textId="77777777" w:rsidR="00F451F1" w:rsidRDefault="004A66F2">
      <w:pPr>
        <w:ind w:firstLine="720"/>
      </w:pPr>
      <w:r>
        <w:t>En este contexto de transformación digital incipiente, las tecnologías de Realidad Extendida (XR), que integran la Realidad Virtual (VR), la Realidad Aumentada (AR) y la Realidad Mixta (MR), emergen como herramientas con potencial disruptivo para reconfigurar los espacios cognitivos y físicos del trabajo judicial. Colombia fue pionera a nivel global en la realización de la primera audiencia judicial en el Metaverso en 2023 (Tribunal Administrativo del Magdalena, 2023), lo que evidencia tanto la disposición institucional hacia la innovación como la ausencia de un marco de implementación sistemática basado en evidencia empírica.</w:t>
      </w:r>
    </w:p>
    <w:p w14:paraId="726CBF69" w14:textId="77777777" w:rsidR="00F451F1" w:rsidRDefault="004A66F2">
      <w:pPr>
        <w:ind w:firstLine="720"/>
      </w:pPr>
      <w:r>
        <w:lastRenderedPageBreak/>
        <w:t>Sin embargo, la adopción institucional de hardware XR en la Rama Judicial colombiana carece de estudios aplicados que evalúen su impacto real en la eficiencia procesal, la experiencia de usuario de los operadores judiciales y la garantía de los derechos procesales de los ciudadanos. Existe una brecha epistémica significativa entre las capacidades tecnológicas documentadas de los dispositivos de computación espacial de última generación y su implementación fundamentada en el ecosistema judicial público colombiano.</w:t>
      </w:r>
    </w:p>
    <w:p w14:paraId="50F81C93" w14:textId="77777777" w:rsidR="00F451F1" w:rsidRDefault="004A66F2">
      <w:pPr>
        <w:ind w:firstLine="720"/>
      </w:pPr>
      <w:r>
        <w:t>En consecuencia, se requiere con urgencia una investigación aplicada que, partiendo del inventario de evidencia empírica disponible, evalúe de manera controlada el uso piloto de tecnología XR en despachos judiciales reales, midiendo su impacto en variables procesales concretas y contribuyendo al diseño de políticas de adopción tecnológica inclusivas y éticamente responsables.</w:t>
      </w:r>
    </w:p>
    <w:p w14:paraId="596D0FCA" w14:textId="77777777" w:rsidR="00F451F1" w:rsidRDefault="00F451F1"/>
    <w:p w14:paraId="480390CC" w14:textId="77777777" w:rsidR="00F451F1" w:rsidRDefault="004A66F2">
      <w:pPr>
        <w:jc w:val="left"/>
      </w:pPr>
      <w:r>
        <w:rPr>
          <w:b/>
        </w:rPr>
        <w:t>Pregunta de Investigación</w:t>
      </w:r>
    </w:p>
    <w:p w14:paraId="4BD6C8D6" w14:textId="77777777" w:rsidR="00F451F1" w:rsidRDefault="00F451F1"/>
    <w:p w14:paraId="09E394B5" w14:textId="77777777" w:rsidR="00F451F1" w:rsidRDefault="004A66F2">
      <w:pPr>
        <w:ind w:firstLine="720"/>
      </w:pPr>
      <w:r>
        <w:t>¿Cómo impacta la implementación piloto de tecnología de Realidad Extendida (XR) inmersiva en la eficiencia procesal, la experiencia ergonómica y la percepción de calidad institucional por parte de jueces y funcionarios en la gestión judicial y administrativa —despacho, audiencias y reuniones directivas— de la Rama Judicial en Colombia, durante el período 2026-2028?</w:t>
      </w:r>
    </w:p>
    <w:p w14:paraId="7ACCAADC" w14:textId="77777777" w:rsidR="00F451F1" w:rsidRDefault="00F451F1"/>
    <w:p w14:paraId="18C3A23A" w14:textId="77777777" w:rsidR="00F451F1" w:rsidRDefault="004A66F2">
      <w:r>
        <w:br w:type="page"/>
      </w:r>
    </w:p>
    <w:p w14:paraId="2433388E" w14:textId="77777777" w:rsidR="00F451F1" w:rsidRDefault="004A66F2">
      <w:pPr>
        <w:jc w:val="center"/>
      </w:pPr>
      <w:r>
        <w:rPr>
          <w:b/>
        </w:rPr>
        <w:lastRenderedPageBreak/>
        <w:t>Justificación</w:t>
      </w:r>
    </w:p>
    <w:p w14:paraId="5C0D5CE0" w14:textId="77777777" w:rsidR="00F451F1" w:rsidRDefault="00F451F1"/>
    <w:p w14:paraId="07B0ED8C" w14:textId="77777777" w:rsidR="00F451F1" w:rsidRDefault="004A66F2">
      <w:pPr>
        <w:ind w:firstLine="720"/>
      </w:pPr>
      <w:r>
        <w:t>La presente investigación se justifica desde tres dimensiones complementarias: la relevancia académica, la pertinencia social y el valor científico-tecnológico para el sector público.</w:t>
      </w:r>
    </w:p>
    <w:p w14:paraId="2995C41D" w14:textId="77777777" w:rsidR="00F451F1" w:rsidRDefault="004A66F2">
      <w:pPr>
        <w:ind w:firstLine="720"/>
      </w:pPr>
      <w:r>
        <w:t>Desde el ámbito académico, el estudio aporta al campo emergente de la e-justice o justicia digital (Medina Zepeda, 2022) un cuerpo de conocimiento empírico sobre la adopción de tecnologías XR en contextos jurídicos latinoamericanos, un campo prácticamente inexplorado en la literatura científica indexada. La especialización en Inteligencia Artificial que adelantan los investigadores —Alexander Oviedo Fadul, abogado con experiencia en la Rama Judicial, y Neheman Samir Jaller Cerchiaro, ingeniero naval con expertise en gestión organizacional de alta complejidad— ofrece una perspectiva interdisciplinar única, que articula el derecho procesal, la ergonomía cognitiva y la ingeniería de sistemas.</w:t>
      </w:r>
    </w:p>
    <w:p w14:paraId="71916579" w14:textId="77777777" w:rsidR="00F451F1" w:rsidRDefault="004A66F2">
      <w:pPr>
        <w:ind w:firstLine="720"/>
      </w:pPr>
      <w:r>
        <w:t>Desde la perspectiva social, la congestión judicial en Colombia es reconocida como una de las principales barreras al acceso a la justicia para los ciudadanos, particularmente para las poblaciones más vulnerables. Una reducción mensurable en los tiempos de procesamiento de expedientes —documentada en estudios análogos en productividad corporativa con AR en hasta un 44% por tarea (Siemsen et al., 2022)— tendría implicaciones directas en la reducción del represamiento procesal y en la tutela efectiva de los derechos fundamentales.</w:t>
      </w:r>
    </w:p>
    <w:p w14:paraId="71EEC419" w14:textId="77777777" w:rsidR="00F451F1" w:rsidRDefault="004A66F2">
      <w:pPr>
        <w:ind w:firstLine="720"/>
      </w:pPr>
      <w:r>
        <w:t>Científicamente, la investigación genera un protocolo de evaluación replicable para la implementación tecnológica en entornos jurídicos públicos, contribuyendo al Plan Estratégico de Transformación Digital de la Rama Judicial (PETD 2021-2025) y al Plan Sectorial de Desarrollo 2023-2026 del Consejo Superior de la Judicatura. En suma, los resultados del presente estudio tienen el potencial de influir directamente en la política pública de adquisición tecnológica judicial y en el diseño de los espacios de trabajo de los operadores de justicia en Colombia.</w:t>
      </w:r>
    </w:p>
    <w:p w14:paraId="6FE5D78F" w14:textId="77777777" w:rsidR="00F451F1" w:rsidRDefault="00F451F1"/>
    <w:p w14:paraId="5F8B791E" w14:textId="77777777" w:rsidR="00F451F1" w:rsidRDefault="004A66F2">
      <w:r>
        <w:br w:type="page"/>
      </w:r>
    </w:p>
    <w:p w14:paraId="04B24A98" w14:textId="77777777" w:rsidR="00F451F1" w:rsidRDefault="004A66F2">
      <w:pPr>
        <w:jc w:val="center"/>
      </w:pPr>
      <w:r>
        <w:rPr>
          <w:b/>
        </w:rPr>
        <w:lastRenderedPageBreak/>
        <w:t>Objetivos</w:t>
      </w:r>
    </w:p>
    <w:p w14:paraId="46E462C3" w14:textId="77777777" w:rsidR="00F451F1" w:rsidRDefault="00F451F1"/>
    <w:p w14:paraId="42ADBFDC" w14:textId="77777777" w:rsidR="00F451F1" w:rsidRDefault="004A66F2">
      <w:pPr>
        <w:jc w:val="left"/>
      </w:pPr>
      <w:r>
        <w:rPr>
          <w:b/>
        </w:rPr>
        <w:t>Objetivo General</w:t>
      </w:r>
    </w:p>
    <w:p w14:paraId="1EA63FC7" w14:textId="77777777" w:rsidR="00F451F1" w:rsidRDefault="00F451F1"/>
    <w:p w14:paraId="6AE97B80" w14:textId="77777777" w:rsidR="00F451F1" w:rsidRDefault="004A66F2">
      <w:pPr>
        <w:ind w:firstLine="720"/>
      </w:pPr>
      <w:r>
        <w:t>Evaluar el impacto de la implementación piloto de tecnología de Realidad Extendida (XR) en la eficiencia procesal, la ergonomía cognitiva y la percepción institucional de funcionarios judiciales de la Rama Judicial colombiana, durante el período 2026-2028.</w:t>
      </w:r>
    </w:p>
    <w:p w14:paraId="1A33BEE9" w14:textId="77777777" w:rsidR="00F451F1" w:rsidRDefault="00F451F1"/>
    <w:p w14:paraId="4E2FA937" w14:textId="77777777" w:rsidR="00F451F1" w:rsidRDefault="004A66F2">
      <w:pPr>
        <w:jc w:val="left"/>
      </w:pPr>
      <w:r>
        <w:rPr>
          <w:b/>
        </w:rPr>
        <w:t>Objetivos Específicos</w:t>
      </w:r>
    </w:p>
    <w:p w14:paraId="157B8224" w14:textId="77777777" w:rsidR="00F451F1" w:rsidRDefault="00F451F1"/>
    <w:p w14:paraId="3E3C6CC7" w14:textId="77777777" w:rsidR="00F451F1" w:rsidRDefault="004A66F2">
      <w:pPr>
        <w:ind w:left="720"/>
      </w:pPr>
      <w:r>
        <w:t>1. Caracterizar el estado actual de la infraestructura tecnológica y las condiciones ergonómicas de los despachos judiciales seleccionados como unidades de análisis, mediante instrumentos de diagnóstico validados.</w:t>
      </w:r>
    </w:p>
    <w:p w14:paraId="2F25F5FF" w14:textId="77777777" w:rsidR="00F451F1" w:rsidRDefault="004A66F2">
      <w:pPr>
        <w:ind w:left="720"/>
      </w:pPr>
      <w:r>
        <w:t>2. Medir el impacto del uso de dispositivos XR en la velocidad de sustanciación y revisión de expedientes electrónicos por parte de los funcionarios judiciales participantes en el piloto.</w:t>
      </w:r>
    </w:p>
    <w:p w14:paraId="5E5AFA19" w14:textId="77777777" w:rsidR="00F451F1" w:rsidRDefault="004A66F2">
      <w:pPr>
        <w:ind w:left="720"/>
      </w:pPr>
      <w:r>
        <w:t>3. Analizar la percepción de calidad, usabilidad e inmediación procesal de jueces y magistrados en audiencias virtuales celebradas mediante plataformas de realidad extendida, frente a plataformas de videoconferencia bidimensional convencional.</w:t>
      </w:r>
    </w:p>
    <w:p w14:paraId="63396F57" w14:textId="77777777" w:rsidR="00F451F1" w:rsidRDefault="004A66F2">
      <w:pPr>
        <w:ind w:left="720"/>
      </w:pPr>
      <w:r>
        <w:t>4. Identificar las barreras éticas, tecnológicas y socioeconómicas que condicionan la escalabilidad de la implementación de tecnología XR en la Rama Judicial colombiana, con énfasis en la inclusión de territorios periféricos.</w:t>
      </w:r>
    </w:p>
    <w:p w14:paraId="2D7149C7" w14:textId="77777777" w:rsidR="00F451F1" w:rsidRDefault="00F451F1"/>
    <w:p w14:paraId="6E2823B8" w14:textId="77777777" w:rsidR="00F451F1" w:rsidRDefault="004A66F2">
      <w:r>
        <w:br w:type="page"/>
      </w:r>
    </w:p>
    <w:p w14:paraId="14EF2E2D" w14:textId="77777777" w:rsidR="00F451F1" w:rsidRDefault="004A66F2">
      <w:pPr>
        <w:jc w:val="center"/>
      </w:pPr>
      <w:r>
        <w:rPr>
          <w:b/>
        </w:rPr>
        <w:lastRenderedPageBreak/>
        <w:t>Hipótesis</w:t>
      </w:r>
    </w:p>
    <w:p w14:paraId="36CB3037" w14:textId="77777777" w:rsidR="00F451F1" w:rsidRDefault="00F451F1"/>
    <w:p w14:paraId="2C058CD7" w14:textId="77777777" w:rsidR="00F451F1" w:rsidRDefault="004A66F2">
      <w:pPr>
        <w:ind w:firstLine="720"/>
      </w:pPr>
      <w:r>
        <w:t>H1: La implementación piloto de tecnología de Realidad Extendida (XR) en despachos judiciales de la Rama Judicial colombiana produce una reducción estadísticamente significativa en los tiempos de sustanciación de expedientes electrónicos y mejora la percepción de inmediación en audiencias virtuales, en comparación con las herramientas tecnológicas convencionales bidimensionales actualmente en uso.</w:t>
      </w:r>
    </w:p>
    <w:p w14:paraId="6BF8EC4B" w14:textId="77777777" w:rsidR="00F451F1" w:rsidRDefault="00F451F1"/>
    <w:p w14:paraId="478DF16E" w14:textId="77777777" w:rsidR="00F451F1" w:rsidRDefault="004A66F2">
      <w:pPr>
        <w:ind w:firstLine="720"/>
      </w:pPr>
      <w:r>
        <w:t>H0: La implementación piloto de tecnología XR no genera diferencias estadísticamente significativas ni en el tiempo de sustanciación de expedientes ni en la percepción de inmediación en audiencias virtuales, respecto al uso de herramientas bidimensionales convencionales.</w:t>
      </w:r>
    </w:p>
    <w:p w14:paraId="2B73F04A" w14:textId="77777777" w:rsidR="00F451F1" w:rsidRDefault="00F451F1"/>
    <w:p w14:paraId="19D60CDE" w14:textId="77777777" w:rsidR="00F451F1" w:rsidRDefault="004A66F2">
      <w:r>
        <w:br w:type="page"/>
      </w:r>
    </w:p>
    <w:p w14:paraId="43B86D26" w14:textId="77777777" w:rsidR="00F451F1" w:rsidRDefault="004A66F2">
      <w:pPr>
        <w:jc w:val="center"/>
      </w:pPr>
      <w:r>
        <w:rPr>
          <w:b/>
        </w:rPr>
        <w:lastRenderedPageBreak/>
        <w:t>Delimitación y Alcance</w:t>
      </w:r>
    </w:p>
    <w:p w14:paraId="1540361B" w14:textId="77777777" w:rsidR="00F451F1" w:rsidRDefault="00F451F1"/>
    <w:p w14:paraId="5B68617B" w14:textId="77777777" w:rsidR="00F451F1" w:rsidRDefault="004A66F2">
      <w:pPr>
        <w:jc w:val="left"/>
      </w:pPr>
      <w:r>
        <w:rPr>
          <w:b/>
        </w:rPr>
        <w:t>Delimitación</w:t>
      </w:r>
    </w:p>
    <w:p w14:paraId="4E7083F3" w14:textId="77777777" w:rsidR="00F451F1" w:rsidRDefault="00F451F1"/>
    <w:p w14:paraId="4D82DA11" w14:textId="77777777" w:rsidR="00F451F1" w:rsidRDefault="004A66F2">
      <w:pPr>
        <w:ind w:firstLine="720"/>
      </w:pPr>
      <w:r>
        <w:t>Temporalmente, la investigación se desarrollará durante el período comprendido entre enero de 2026 y diciembre de 2028. Geográficamente, el estudio piloto se circunscribirá a despachos judiciales seleccionados de la Jurisdicción de lo Contencioso Administrativo y la Jurisdicción Ordinaria en las ciudades de Bogotá D.C. y Barranquilla, Colombia, contemplando adicionalmente al menos un circuito judicial ubicado en un municipio con conectividad reducida para efectos del análisis de la brecha digital. Poblacionalmente, se trabajará con jueces, magistrados, secretarios y sustanciadores en ejercicio que voluntariamente participen en el piloto tecnológico, previa suscripción de consentimiento informado, excluyendo a personal en encargo o en comisión temporal.</w:t>
      </w:r>
    </w:p>
    <w:p w14:paraId="2FF4A162" w14:textId="77777777" w:rsidR="00F451F1" w:rsidRDefault="004A66F2">
      <w:pPr>
        <w:ind w:firstLine="720"/>
      </w:pPr>
      <w:r>
        <w:t>Los recursos disponibles contemplan el acceso a dispositivos XR de última generación gestionados bajo convenio académico-institucional, el acceso a registros anonimizados de tiempos de sustanciación del Sistema Integrado Único de Gestión Judicial (SIUGJ) y la colaboración de la Unidad de Transformación Digital e Informática (UTDI) del Consejo Superior de la Judicatura. Las restricciones éticas, presupuestales y de acceso a la información clasificada de la Rama Judicial serán tratadas como variables de control del diseño metodológico.</w:t>
      </w:r>
    </w:p>
    <w:p w14:paraId="56DFF2F5" w14:textId="77777777" w:rsidR="00F451F1" w:rsidRDefault="00F451F1"/>
    <w:p w14:paraId="68789058" w14:textId="77777777" w:rsidR="00F451F1" w:rsidRDefault="004A66F2">
      <w:pPr>
        <w:jc w:val="left"/>
      </w:pPr>
      <w:r>
        <w:rPr>
          <w:b/>
        </w:rPr>
        <w:t>Alcance</w:t>
      </w:r>
    </w:p>
    <w:p w14:paraId="74467D05" w14:textId="77777777" w:rsidR="00F451F1" w:rsidRDefault="00F451F1"/>
    <w:p w14:paraId="4F372F16" w14:textId="77777777" w:rsidR="00F451F1" w:rsidRDefault="004A66F2">
      <w:pPr>
        <w:ind w:firstLine="720"/>
      </w:pPr>
      <w:r>
        <w:t xml:space="preserve">El presente estudio adopta un alcance correlacional, en tanto busca identificar y cuantificar la relación de asociación entre la variable independiente —uso de tecnología XR en las actividades judiciales— y las variables dependientes —eficiencia procesal medida en tiempos de sustanciación y percepción de inmediación—, sin pretender en esta fase establecer relaciones causales de tipo explicativo. Este nivel de alcance resulta coherente con el estado actual del </w:t>
      </w:r>
      <w:r>
        <w:lastRenderedPageBreak/>
        <w:t>conocimiento sobre el objeto de estudio, donde la literatura empírica en contextos latinoamericanos es aún incipiente, y con el horizonte temporal de dos años disponible para el desarrollo de la investigación. Una vez completada esta fase correlacional, los resultados podrán sentar las bases para estudios explicativos o cuasi-experimentales de mayor profundidad en fases subsiguientes.</w:t>
      </w:r>
    </w:p>
    <w:p w14:paraId="13164C04" w14:textId="77777777" w:rsidR="00F451F1" w:rsidRDefault="00F451F1"/>
    <w:p w14:paraId="596EF3F1" w14:textId="77777777" w:rsidR="00F451F1" w:rsidRDefault="004A66F2">
      <w:r>
        <w:br w:type="page"/>
      </w:r>
    </w:p>
    <w:p w14:paraId="10915120" w14:textId="77777777" w:rsidR="00F451F1" w:rsidRDefault="004A66F2">
      <w:pPr>
        <w:jc w:val="center"/>
      </w:pPr>
      <w:r>
        <w:rPr>
          <w:b/>
        </w:rPr>
        <w:lastRenderedPageBreak/>
        <w:t>Marco de Referencia</w:t>
      </w:r>
    </w:p>
    <w:p w14:paraId="31E1F3AB" w14:textId="77777777" w:rsidR="00F451F1" w:rsidRDefault="00F451F1"/>
    <w:p w14:paraId="444DC60E" w14:textId="77777777" w:rsidR="00F451F1" w:rsidRDefault="004A66F2">
      <w:pPr>
        <w:jc w:val="left"/>
      </w:pPr>
      <w:r>
        <w:rPr>
          <w:b/>
        </w:rPr>
        <w:t>Antecedentes y Estado del Arte</w:t>
      </w:r>
    </w:p>
    <w:p w14:paraId="76B3E63E" w14:textId="77777777" w:rsidR="00F451F1" w:rsidRDefault="00F451F1"/>
    <w:p w14:paraId="6E94CC96" w14:textId="77777777" w:rsidR="00F451F1" w:rsidRDefault="004A66F2">
      <w:pPr>
        <w:ind w:firstLine="720"/>
      </w:pPr>
      <w:r>
        <w:t>El cuerpo de conocimiento sobre la aplicación de tecnologías de Realidad Extendida (XR) en la administración de justicia constituye un campo emergente, pero con hitos significativos que trazan la trayectoria de adopción institucional a nivel global y regional. Investigaciones como la revisión sistemática de Alvarado-Cevallos et al. (2024), publicada en la revista Technologies de MDPI, sintetizan el estado del arte sobre el uso de XR en investigaciones forenses, documentando mejoras sustanciales en la precisión de reconstrucciones de escenas del crimen cuando se utilizan herramientas de visualización tridimensional inmersiva frente a fotografías y video convencionales. Este estudio, que evalúa publicaciones bajo el protocolo PRISMA en bases de datos de alto impacto, concluye que si bien los beneficios operativos son evidentes, persisten desafíos técnicos y éticos significativos en la estandarización de la tecnología para su uso probatorio ante estrados judiciales.</w:t>
      </w:r>
    </w:p>
    <w:p w14:paraId="5D797E44" w14:textId="77777777" w:rsidR="00F451F1" w:rsidRDefault="004A66F2">
      <w:pPr>
        <w:ind w:firstLine="720"/>
      </w:pPr>
      <w:r>
        <w:t>A nivel institucional multilateral, el reporte seminal de la UNESCO (2023) sobre el impacto de la realidad virtual y aumentada en los tribunales señala que la adopción de estas tecnologías elimina barreras geográficas, reduce costos procesales y mejora sustancialmente la comprensión visual de las pruebas. Sin embargo, la organización advierte con firmeza la necesidad de protocolos estandarizados que garanticen la autenticidad de la evidencia digital y la robustez de la ciberseguridad en los procesos virtuales. Este reporte es especialmente relevante para el contexto colombiano, al documentar el caso pionero del Tribunal Administrativo del Magdalena (2023), cuya providencia —Auto Interlocutorio bajo el Radicado 47-001-2333-000-2020-00014-00 de la magistrada María Victoria Quiñones Triana— fundamentó jurídicamente la celebración de la primera audiencia judicial en el Metaverso en Colombia, apoyándose en los principios de equivalencia funcional y neutralidad tecnológica de la Ley 2213 de 2022 y el artículo 103 del Código General del Proceso.</w:t>
      </w:r>
    </w:p>
    <w:p w14:paraId="18EDE693" w14:textId="77777777" w:rsidR="00F451F1" w:rsidRDefault="004A66F2">
      <w:pPr>
        <w:ind w:firstLine="720"/>
      </w:pPr>
      <w:r>
        <w:lastRenderedPageBreak/>
        <w:t>En el ámbito de la productividad organizacional con AR, el experimento de campo controlado de Siemsen, Wuttke, Upadhyay y Wuttke-Linnemann (2022), publicado en Manufacturing &amp; Service Operations Management, aporta evidencia cuantitativa de alta validez interna: trabajadores equipados con gafas de realidad aumentada completaron tareas complejas de ensamblaje y revisión informacional un 44% más rápido que sus pares sin el dispositivo. Este hallazgo, aunque contextualizado en el ámbito de la manufactura, tiene implicaciones directas y transferibles al benchmarking de la eficiencia en la sustanciación de expedientes judiciales, sugiriendo que mejoras de eficiencia del orden del 20-35% podrían ser esperadas en contextos de revisión documental legal.</w:t>
      </w:r>
    </w:p>
    <w:p w14:paraId="79B35025" w14:textId="77777777" w:rsidR="00F451F1" w:rsidRDefault="004A66F2">
      <w:pPr>
        <w:ind w:firstLine="720"/>
      </w:pPr>
      <w:r>
        <w:t>En el espacio latinoamericano, Valeros de Corica, Niell y di Luca (2023) documentan etnográficamente la primera audiencia inmersiva con realidad virtual en la jurisdicción civil y comercial de Buenos Aires, Argentina, concluyendo que la visualización espacial tridimensional de los hechos litigiosos mejora sustancialmente la asertividad del razonamiento judicial y no vulnera los principios procesales fundamentales. Complementariamente, Rueda Fonseca et al. (2023) de la Universidad de los Andes analizan la transición pedagógica y profesional hacia el "metaverso judicial", identificando los retos neurológicos y comunicacionales que impone la virtual desaparición del lenguaje corporal físico en las audiencias inmersivas. Finalmente, Chiban (2023) aporta la perspectiva bioética crítica indispensable, alertando sobre los riesgos de profundización de la brecha digital, sesgos algorítmicos y amenazas a la privacidad que conlleva la adopción acelerada de tecnologías inmersivas en sistemas de justicia latinoamericanos históricamente inequitativos.</w:t>
      </w:r>
    </w:p>
    <w:p w14:paraId="6F1684DD" w14:textId="77777777" w:rsidR="00F451F1" w:rsidRDefault="00F451F1"/>
    <w:p w14:paraId="4DF40201" w14:textId="77777777" w:rsidR="00F451F1" w:rsidRDefault="004A66F2">
      <w:pPr>
        <w:jc w:val="left"/>
      </w:pPr>
      <w:r>
        <w:rPr>
          <w:b/>
        </w:rPr>
        <w:t>Marco Teórico</w:t>
      </w:r>
    </w:p>
    <w:p w14:paraId="24FDB39C" w14:textId="77777777" w:rsidR="00F451F1" w:rsidRDefault="00F451F1"/>
    <w:p w14:paraId="33E039F2" w14:textId="77777777" w:rsidR="00F451F1" w:rsidRDefault="004A66F2">
      <w:pPr>
        <w:ind w:firstLine="720"/>
      </w:pPr>
      <w:r>
        <w:t>El sustento teórico del presente estudio articula tres grandes tradiciones conceptuales: la teoría de la e-justice y la justicia digital, la ergonomía cognitiva de las interfaces de usuario inmersivas, y la teoría de la prueba y el debido proceso en entornos tecnológicamente mediados.</w:t>
      </w:r>
    </w:p>
    <w:p w14:paraId="3C1BBD53" w14:textId="77777777" w:rsidR="00F451F1" w:rsidRDefault="004A66F2">
      <w:pPr>
        <w:ind w:firstLine="720"/>
      </w:pPr>
      <w:r>
        <w:lastRenderedPageBreak/>
        <w:t>Desde la teoría de la e-justice, Medina Zepeda (2022) propone un marco conceptual que distingue entre la mera digitalización instrumental de los tribunales —adopción de computadores y correo electrónico— y la transformación sistémica de la justicia hacia ecosistemas de información completamente digitales e interoperables. La computación espacial representa la siguiente frontera de esta transición, al no limitarse a replicar digitalmente los procesos analógicos, sino a reinventarlos estructuralmente desde una arquitectura cognitiva completamente nueva.</w:t>
      </w:r>
    </w:p>
    <w:p w14:paraId="0F3AECC7" w14:textId="77777777" w:rsidR="00F451F1" w:rsidRDefault="004A66F2">
      <w:pPr>
        <w:ind w:firstLine="720"/>
      </w:pPr>
      <w:r>
        <w:t>La ergonomía cognitiva aplicada a las interfaces XR encuentra su fundamento en las investigaciones sobre carga cognitiva y flujo de trabajo de Kahneman (2011) y su aplicación tecnológica en estudios como los de Siemsen et al. (2022). La teoría de la carga cognitiva postula que la distribución espacial de la información en el entorno tridimensional —en lugar de su acumulación lineal en una pantalla bidimensional— permite al usuario gestionar simultáneamente mayor volumen de datos sin sobrecargar la memoria de trabajo, incrementando la eficiencia operativa y la calidad de las decisiones.</w:t>
      </w:r>
    </w:p>
    <w:p w14:paraId="629A36AD" w14:textId="77777777" w:rsidR="00F451F1" w:rsidRDefault="004A66F2">
      <w:pPr>
        <w:ind w:firstLine="720"/>
      </w:pPr>
      <w:r>
        <w:t>Desde la teoría de la prueba, la admisión de evidencia generada mediante tecnología XR requiere la aplicación de los estándares de fiabilidad científica establecidos por la doctrina Daubert en el derecho anglosajón y sus equivalentes en el ordenamiento procesal colombiano. La discusión dogmática contemporánea sobre la evidencia demostrativa inmersiva, documentada por Heidrick (2025) en la American Bar Association, plantea que las reconstrucciones forenses tridimensionales deben ser clasificadas como material ilustrativo complementario —sometido a dictamen pericial que certifique la ausencia de manipulaciones algorítmicas— y no como prueba autónoma con valor probatorio sustantivo.</w:t>
      </w:r>
    </w:p>
    <w:p w14:paraId="51308761" w14:textId="77777777" w:rsidR="00F451F1" w:rsidRDefault="00F451F1"/>
    <w:p w14:paraId="4DC669BB" w14:textId="77777777" w:rsidR="00F451F1" w:rsidRDefault="004A66F2">
      <w:pPr>
        <w:jc w:val="left"/>
      </w:pPr>
      <w:r>
        <w:rPr>
          <w:b/>
        </w:rPr>
        <w:t>Marco Legal</w:t>
      </w:r>
    </w:p>
    <w:p w14:paraId="4FD30E70" w14:textId="77777777" w:rsidR="00F451F1" w:rsidRDefault="00F451F1"/>
    <w:p w14:paraId="6EDDC0EA" w14:textId="77777777" w:rsidR="00F451F1" w:rsidRDefault="004A66F2">
      <w:pPr>
        <w:ind w:firstLine="720"/>
      </w:pPr>
      <w:r>
        <w:t xml:space="preserve">El marco normativo que regula la investigación combina disposiciones de rango constitucional, estatutario y reglamentario. La Constitución Política de Colombia, en su artículo </w:t>
      </w:r>
      <w:r>
        <w:lastRenderedPageBreak/>
        <w:t>229, garantiza el derecho de acceso a la administración de justicia, mientras que el artículo 209 establece los principios de eficacia, economía y celeridad que deben regir la función administrativa del Estado, principios extensibles a la gestión del aparato judicial. La Ley 270 de 1996, Estatutaria de la Administración de Justicia, consagra en su artículo 95 el mandato pionero de utilizar tecnologías de avanzada en la gestión judicial.</w:t>
      </w:r>
    </w:p>
    <w:p w14:paraId="4C3ED63B" w14:textId="77777777" w:rsidR="00F451F1" w:rsidRDefault="004A66F2">
      <w:pPr>
        <w:ind w:firstLine="720"/>
      </w:pPr>
      <w:r>
        <w:t>La Ley 2213 de 2022, que adopta con carácter permanente el Decreto Legislativo 806 de 2020, constituye el instrumento jurídico central del estudio, al consolidar el uso de las TIC en las actuaciones judiciales, establecer el principio de equivalencia funcional de los mensajes de datos y reconocer la validez de las diligencias realizadas de manera virtual con la misma plena validez que las presenciales. El Acuerdo PCSJA20-11631 del Consejo Superior de la Judicatura, que adopta el Plan Estratégico de Transformación Digital de la Rama Judicial (PETD 2021-2025), y el Plan Sectorial de Desarrollo 2023-2026 constituyen el marco de política institucional dentro del cual se inscribe la propuesta de investigación. Finalmente, la Ley 1581 de 2012 de Protección de Datos Personales y su Decreto Reglamentario 1377 de 2013 establecen las condiciones de tratamiento de datos biométricos y sensoriales que genera el hardware XR, siendo de cumplimiento obligatorio en el diseño del protocolo investigativo.</w:t>
      </w:r>
    </w:p>
    <w:p w14:paraId="21AD6DA0" w14:textId="77777777" w:rsidR="00F451F1" w:rsidRDefault="00F451F1"/>
    <w:p w14:paraId="155364F3" w14:textId="77777777" w:rsidR="00F451F1" w:rsidRDefault="004A66F2">
      <w:r>
        <w:br w:type="page"/>
      </w:r>
    </w:p>
    <w:p w14:paraId="3B547F3E" w14:textId="77777777" w:rsidR="00F451F1" w:rsidRDefault="004A66F2">
      <w:pPr>
        <w:jc w:val="center"/>
      </w:pPr>
      <w:r>
        <w:rPr>
          <w:b/>
        </w:rPr>
        <w:lastRenderedPageBreak/>
        <w:t>Desarrollo Metodológico</w:t>
      </w:r>
    </w:p>
    <w:p w14:paraId="33A23382" w14:textId="77777777" w:rsidR="00F451F1" w:rsidRDefault="00F451F1"/>
    <w:p w14:paraId="709ECEBA" w14:textId="77777777" w:rsidR="00F451F1" w:rsidRDefault="004A66F2">
      <w:pPr>
        <w:jc w:val="left"/>
      </w:pPr>
      <w:r>
        <w:rPr>
          <w:b/>
        </w:rPr>
        <w:t>Tipo de Estudio y Enfoque</w:t>
      </w:r>
    </w:p>
    <w:p w14:paraId="176DA0DF" w14:textId="77777777" w:rsidR="00F451F1" w:rsidRDefault="00F451F1"/>
    <w:p w14:paraId="63C142AE" w14:textId="77777777" w:rsidR="00F451F1" w:rsidRDefault="004A66F2">
      <w:pPr>
        <w:ind w:firstLine="720"/>
      </w:pPr>
      <w:r>
        <w:t>La investigación adopta un diseño no experimental de tipo transeccional correlacional, con un enfoque cuantitativo predominante y elementos cualitativos complementarios que configuran una perspectiva metodológica de tipo mixto. Se opta por un diseño no experimental dado que el objeto de estudio —la adopción de tecnología XR por parte de funcionarios judiciales— implica la observación del fenómeno en su contexto natural, sin que los investigadores manipulen intencional ni artificialmente las condiciones de implementación tecnológica. La recolección de datos se realizará en un momento específico del tiempo (corte transversal), aunque se contemplan mediciones en dos puntos temporales comparativos (línea base y postimplementación piloto) para enriquecer el análisis correlacional.</w:t>
      </w:r>
    </w:p>
    <w:p w14:paraId="08280BD8" w14:textId="77777777" w:rsidR="00F451F1" w:rsidRDefault="004A66F2">
      <w:pPr>
        <w:ind w:firstLine="720"/>
      </w:pPr>
      <w:r>
        <w:t>El alcance correlacional del estudio responde al estado actual de la literatura científica sobre XR en contextos judiciales latinoamericanos, donde la ausencia de antecedentes empíricos locales impide la formulación robusta de hipótesis explicativas. La metodología mixta permite triangular los datos cuantitativos de eficiencia procesal —obtenidos de los registros del SIUGJ— con los datos cualitativos derivados de las percepciones y experiencias de los funcionarios participantes, garantizando una comprensión holística del fenómeno.</w:t>
      </w:r>
    </w:p>
    <w:p w14:paraId="035B0FE6" w14:textId="77777777" w:rsidR="00F451F1" w:rsidRDefault="00F451F1"/>
    <w:p w14:paraId="577DA765" w14:textId="77777777" w:rsidR="00F451F1" w:rsidRDefault="004A66F2">
      <w:pPr>
        <w:jc w:val="left"/>
      </w:pPr>
      <w:r>
        <w:rPr>
          <w:b/>
        </w:rPr>
        <w:t>Población y Muestra</w:t>
      </w:r>
    </w:p>
    <w:p w14:paraId="0A8BBA6A" w14:textId="77777777" w:rsidR="00F451F1" w:rsidRDefault="00F451F1"/>
    <w:p w14:paraId="2D7B3D7D" w14:textId="77777777" w:rsidR="00F451F1" w:rsidRDefault="004A66F2">
      <w:pPr>
        <w:ind w:firstLine="720"/>
      </w:pPr>
      <w:r>
        <w:t xml:space="preserve">La población objetivo comprende el universo de jueces, magistrados, secretarios y sustanciadores activos en la Rama Judicial colombiana, estimado en aproximadamente 28.000 funcionarios según los reportes del Consejo Superior de la Judicatura (2023). La muestra de conveniencia para el piloto se conformará por un mínimo de 30 funcionarios voluntarios pertenecientes a cuatro despachos judiciales ubicados en Bogotá D.C. (dos despachos), </w:t>
      </w:r>
      <w:r>
        <w:lastRenderedPageBreak/>
        <w:t>Barranquilla (un despacho) y un municipio periférico con conectividad limitada (un despacho), seleccionados en coordinación con la UTDI. Este tamaño muestral permite la aplicación de pruebas estadísticas no paramétricas y análisis de correlación de Spearman para variables de escala ordinal. Los criterios de inclusión contemplan el ejercicio activo de funciones judiciales, la disponibilidad para participar en la capacitación en el uso del hardware XR y la suscripción del consentimiento informado.</w:t>
      </w:r>
    </w:p>
    <w:p w14:paraId="6BF2BB1A" w14:textId="77777777" w:rsidR="00F451F1" w:rsidRDefault="00F451F1"/>
    <w:p w14:paraId="5A00B45A" w14:textId="77777777" w:rsidR="00F451F1" w:rsidRDefault="004A66F2">
      <w:pPr>
        <w:jc w:val="left"/>
      </w:pPr>
      <w:r>
        <w:rPr>
          <w:b/>
        </w:rPr>
        <w:t>Instrumentos de Recolección de Datos</w:t>
      </w:r>
    </w:p>
    <w:p w14:paraId="6813CDB7" w14:textId="77777777" w:rsidR="00F451F1" w:rsidRDefault="00F451F1"/>
    <w:p w14:paraId="5AC7CA55" w14:textId="77777777" w:rsidR="00F451F1" w:rsidRDefault="004A66F2">
      <w:pPr>
        <w:ind w:firstLine="720"/>
      </w:pPr>
      <w:r>
        <w:t>Los instrumentos primarios de recolección incluirán: (a) la extracción de métricas de tiempos de sustanciación y resolución de expedientes del SIUGJ, comparando el período preintervención con el período de uso del piloto XR; (b) una escala de percepción de usabilidad y ergonomía basada en el System Usability Scale (SUS) adaptado al contexto judicial colombiano; (c) un cuestionario de percepción de inmediación en audiencias virtuales, construido a partir de los indicadores validados por la Nuffield Family Justice Observatory (2021); y (d) entrevistas semiestructuradas individuales con una submuestra de 12 funcionarios, orientadas a explorar las barreras subjetivas, resistencias al cambio y condiciones facilitadoras de la adopción tecnológica. Todos los instrumentos serán sometidos a validación de contenido por juicio experto (panel de tres juristas y dos expertos en ergonomía cognitiva) y pilotados previamente en un despacho no incluido en la muestra principal.</w:t>
      </w:r>
    </w:p>
    <w:p w14:paraId="3DAA0B73" w14:textId="77777777" w:rsidR="00F451F1" w:rsidRDefault="00F451F1"/>
    <w:p w14:paraId="3F861C2F" w14:textId="77777777" w:rsidR="00F451F1" w:rsidRDefault="004A66F2">
      <w:r>
        <w:br w:type="page"/>
      </w:r>
    </w:p>
    <w:p w14:paraId="16F41603" w14:textId="77777777" w:rsidR="00F451F1" w:rsidRDefault="004A66F2">
      <w:pPr>
        <w:jc w:val="center"/>
      </w:pPr>
      <w:r>
        <w:rPr>
          <w:b/>
        </w:rPr>
        <w:lastRenderedPageBreak/>
        <w:t>Referencias</w:t>
      </w:r>
    </w:p>
    <w:p w14:paraId="3E463776" w14:textId="77777777" w:rsidR="009F2C0B" w:rsidRDefault="009F2C0B" w:rsidP="009F2C0B">
      <w:pPr>
        <w:pStyle w:val="NormalWeb"/>
        <w:ind w:left="720" w:hanging="720"/>
      </w:pPr>
      <w:r>
        <w:t xml:space="preserve">Alvarado-Cevallos, J. C., et al. (2024). Advances in the application of extended reality (XR) technologies in forensic investigation: A systematic review. </w:t>
      </w:r>
      <w:r>
        <w:rPr>
          <w:rStyle w:val="nfasis"/>
        </w:rPr>
        <w:t>Technologies</w:t>
      </w:r>
      <w:r>
        <w:t xml:space="preserve">, 13(8), 315. </w:t>
      </w:r>
      <w:hyperlink r:id="rId8" w:tgtFrame="_new" w:history="1">
        <w:r>
          <w:rPr>
            <w:rStyle w:val="Hipervnculo"/>
          </w:rPr>
          <w:t>https://doi.org/10.3390/technologies13080315</w:t>
        </w:r>
      </w:hyperlink>
    </w:p>
    <w:p w14:paraId="26CA8BCD" w14:textId="77777777" w:rsidR="009F2C0B" w:rsidRDefault="009F2C0B" w:rsidP="009F2C0B">
      <w:pPr>
        <w:pStyle w:val="NormalWeb"/>
        <w:ind w:left="720" w:hanging="720"/>
      </w:pPr>
      <w:r>
        <w:t xml:space="preserve">Chiban, G. (2023). Inteligencia artificial y administración de justicia: Desafíos derivados del contexto latinoamericano. </w:t>
      </w:r>
      <w:r>
        <w:rPr>
          <w:rStyle w:val="nfasis"/>
        </w:rPr>
        <w:t>Revista de Bioética y Derecho</w:t>
      </w:r>
      <w:r>
        <w:t xml:space="preserve">, (58). </w:t>
      </w:r>
      <w:hyperlink r:id="rId9" w:tgtFrame="_new" w:history="1">
        <w:r>
          <w:rPr>
            <w:rStyle w:val="Hipervnculo"/>
          </w:rPr>
          <w:t>https://doi.org/10.1344/rbd2023.58.37971</w:t>
        </w:r>
      </w:hyperlink>
    </w:p>
    <w:p w14:paraId="4361FA75" w14:textId="77777777" w:rsidR="009F2C0B" w:rsidRDefault="009F2C0B" w:rsidP="009F2C0B">
      <w:pPr>
        <w:pStyle w:val="NormalWeb"/>
        <w:ind w:left="720" w:hanging="720"/>
      </w:pPr>
      <w:r>
        <w:t xml:space="preserve">Consejo Superior de la Judicatura. (2020). </w:t>
      </w:r>
      <w:r>
        <w:rPr>
          <w:rStyle w:val="nfasis"/>
        </w:rPr>
        <w:t>Acuerdo PCSJA20-11631: Plan estratégico de transformación digital de la Rama Judicial (PETD 2021–2025)</w:t>
      </w:r>
      <w:r>
        <w:t>.</w:t>
      </w:r>
    </w:p>
    <w:p w14:paraId="20D2432E" w14:textId="77777777" w:rsidR="009F2C0B" w:rsidRDefault="009F2C0B" w:rsidP="009F2C0B">
      <w:pPr>
        <w:pStyle w:val="NormalWeb"/>
        <w:ind w:left="720" w:hanging="720"/>
      </w:pPr>
      <w:r>
        <w:t xml:space="preserve">Consejo Superior de la Judicatura. (2023). </w:t>
      </w:r>
      <w:r>
        <w:rPr>
          <w:rStyle w:val="nfasis"/>
        </w:rPr>
        <w:t>Informe estadístico de la Rama Judicial: Gestión y desempeño</w:t>
      </w:r>
      <w:r>
        <w:t>.</w:t>
      </w:r>
    </w:p>
    <w:p w14:paraId="3D680C09" w14:textId="77777777" w:rsidR="009F2C0B" w:rsidRDefault="009F2C0B" w:rsidP="009F2C0B">
      <w:pPr>
        <w:pStyle w:val="NormalWeb"/>
        <w:ind w:left="720" w:hanging="720"/>
      </w:pPr>
      <w:r>
        <w:t xml:space="preserve">Heidrick, M. (2025). Virtual reality in the courtroom. </w:t>
      </w:r>
      <w:r>
        <w:rPr>
          <w:rStyle w:val="nfasis"/>
        </w:rPr>
        <w:t>Law Practice Magazine</w:t>
      </w:r>
      <w:r>
        <w:t>. American Bar Association.</w:t>
      </w:r>
    </w:p>
    <w:p w14:paraId="5BA28451" w14:textId="77777777" w:rsidR="009F2C0B" w:rsidRDefault="009F2C0B" w:rsidP="009F2C0B">
      <w:pPr>
        <w:pStyle w:val="NormalWeb"/>
        <w:ind w:left="720" w:hanging="720"/>
      </w:pPr>
      <w:r>
        <w:t xml:space="preserve">Hernández-Sampieri, R., &amp; Mendoza, C. (2018). </w:t>
      </w:r>
      <w:r>
        <w:rPr>
          <w:rStyle w:val="nfasis"/>
        </w:rPr>
        <w:t>Metodología de la investigación: Las rutas cuantitativa, cualitativa y mixta</w:t>
      </w:r>
      <w:r>
        <w:t>. McGraw-Hill.</w:t>
      </w:r>
    </w:p>
    <w:p w14:paraId="04BB0978" w14:textId="77777777" w:rsidR="009F2C0B" w:rsidRDefault="009F2C0B" w:rsidP="009F2C0B">
      <w:pPr>
        <w:pStyle w:val="NormalWeb"/>
        <w:ind w:left="720" w:hanging="720"/>
      </w:pPr>
      <w:r>
        <w:t xml:space="preserve">Kahneman, D. (2011). </w:t>
      </w:r>
      <w:r>
        <w:rPr>
          <w:rStyle w:val="nfasis"/>
        </w:rPr>
        <w:t>Thinking, fast and slow</w:t>
      </w:r>
      <w:r>
        <w:t>. Farrar, Straus and Giroux.</w:t>
      </w:r>
    </w:p>
    <w:p w14:paraId="1667059B" w14:textId="77777777" w:rsidR="009F2C0B" w:rsidRDefault="009F2C0B" w:rsidP="009F2C0B">
      <w:pPr>
        <w:pStyle w:val="NormalWeb"/>
        <w:ind w:left="720" w:hanging="720"/>
      </w:pPr>
      <w:r>
        <w:t xml:space="preserve">Medina Zepeda, E. (2022). Hacia una teoría sobre la e-justice o justicia digital: Instrucciones para armar. </w:t>
      </w:r>
      <w:r>
        <w:rPr>
          <w:rStyle w:val="nfasis"/>
        </w:rPr>
        <w:t>Cuestiones Constitucionales</w:t>
      </w:r>
      <w:r>
        <w:t xml:space="preserve">, (46), 177–200. </w:t>
      </w:r>
      <w:hyperlink r:id="rId10" w:tgtFrame="_new" w:history="1">
        <w:r>
          <w:rPr>
            <w:rStyle w:val="Hipervnculo"/>
          </w:rPr>
          <w:t>https://doi.org/10.22201/iij.24484881e.2022.46.16719</w:t>
        </w:r>
      </w:hyperlink>
    </w:p>
    <w:p w14:paraId="094EC9F4" w14:textId="77777777" w:rsidR="009F2C0B" w:rsidRDefault="009F2C0B" w:rsidP="009F2C0B">
      <w:pPr>
        <w:pStyle w:val="NormalWeb"/>
        <w:ind w:left="720" w:hanging="720"/>
      </w:pPr>
      <w:r>
        <w:t xml:space="preserve">Nuffield Family Justice Observatory. (2021). </w:t>
      </w:r>
      <w:r>
        <w:rPr>
          <w:rStyle w:val="nfasis"/>
        </w:rPr>
        <w:t>What we know about the impact of remote hearings on access to justice</w:t>
      </w:r>
      <w:r>
        <w:t>.</w:t>
      </w:r>
    </w:p>
    <w:p w14:paraId="2EA6436C" w14:textId="77777777" w:rsidR="009F2C0B" w:rsidRDefault="009F2C0B" w:rsidP="009F2C0B">
      <w:pPr>
        <w:pStyle w:val="NormalWeb"/>
        <w:ind w:left="720" w:hanging="720"/>
      </w:pPr>
      <w:r>
        <w:t xml:space="preserve">Rueda Fonseca, M. S., et al. (2023). </w:t>
      </w:r>
      <w:r>
        <w:rPr>
          <w:rStyle w:val="nfasis"/>
        </w:rPr>
        <w:t>Del aula al metaverso: La realidad práctica del derecho</w:t>
      </w:r>
      <w:r>
        <w:t>. Facultad de Derecho, Universidad de los Andes.</w:t>
      </w:r>
    </w:p>
    <w:p w14:paraId="3B755F66" w14:textId="77777777" w:rsidR="009F2C0B" w:rsidRDefault="009F2C0B" w:rsidP="009F2C0B">
      <w:pPr>
        <w:pStyle w:val="NormalWeb"/>
        <w:ind w:left="720" w:hanging="720"/>
      </w:pPr>
      <w:r>
        <w:t xml:space="preserve">Siemsen, E., Wuttke, D., Upadhyay, A., &amp; Wuttke-Linnemann, A. (2022). Seeing the bigger picture? Ramping up production with the use of augmented reality. </w:t>
      </w:r>
      <w:r>
        <w:rPr>
          <w:rStyle w:val="nfasis"/>
        </w:rPr>
        <w:t>Manufacturing &amp; Service Operations Management</w:t>
      </w:r>
      <w:r>
        <w:t xml:space="preserve">. </w:t>
      </w:r>
      <w:hyperlink r:id="rId11" w:tgtFrame="_new" w:history="1">
        <w:r>
          <w:rPr>
            <w:rStyle w:val="Hipervnculo"/>
          </w:rPr>
          <w:t>https://doi.org/10.1287/msom.2021.1043</w:t>
        </w:r>
      </w:hyperlink>
    </w:p>
    <w:p w14:paraId="20D9ABBE" w14:textId="77777777" w:rsidR="009F2C0B" w:rsidRDefault="009F2C0B" w:rsidP="009F2C0B">
      <w:pPr>
        <w:pStyle w:val="NormalWeb"/>
        <w:ind w:left="720" w:hanging="720"/>
      </w:pPr>
      <w:r>
        <w:t xml:space="preserve">Tribunal Administrativo del Magdalena. (2023). </w:t>
      </w:r>
      <w:r>
        <w:rPr>
          <w:rStyle w:val="nfasis"/>
        </w:rPr>
        <w:t>Auto mediante el cual se resuelve solicitud de realización de audiencia en el metaverso</w:t>
      </w:r>
      <w:r>
        <w:t xml:space="preserve"> (Rad. 47-001-2333-000-2020-00014-00).</w:t>
      </w:r>
    </w:p>
    <w:p w14:paraId="599E49C6" w14:textId="77777777" w:rsidR="009F2C0B" w:rsidRDefault="009F2C0B" w:rsidP="009F2C0B">
      <w:pPr>
        <w:pStyle w:val="NormalWeb"/>
        <w:ind w:left="720" w:hanging="720"/>
      </w:pPr>
      <w:r>
        <w:t xml:space="preserve">UNESCO. (2023). </w:t>
      </w:r>
      <w:r>
        <w:rPr>
          <w:rStyle w:val="nfasis"/>
        </w:rPr>
        <w:t>Explorando el impacto de la realidad virtual y aumentada en los tribunales</w:t>
      </w:r>
      <w:r>
        <w:t>.</w:t>
      </w:r>
    </w:p>
    <w:p w14:paraId="28812226" w14:textId="77777777" w:rsidR="009F2C0B" w:rsidRDefault="009F2C0B" w:rsidP="009F2C0B">
      <w:pPr>
        <w:pStyle w:val="NormalWeb"/>
        <w:ind w:left="720" w:hanging="720"/>
      </w:pPr>
      <w:r>
        <w:t xml:space="preserve">Universidad de los Andes. (2023). </w:t>
      </w:r>
      <w:r>
        <w:rPr>
          <w:rStyle w:val="nfasis"/>
        </w:rPr>
        <w:t>Justicia digital e inmediación procesal: Perspectivas desde el derecho colombiano</w:t>
      </w:r>
      <w:r>
        <w:t>. Boletín de Transformación Uniandes.</w:t>
      </w:r>
    </w:p>
    <w:p w14:paraId="7D07D0E3" w14:textId="77777777" w:rsidR="009F2C0B" w:rsidRDefault="009F2C0B" w:rsidP="009F2C0B">
      <w:pPr>
        <w:pStyle w:val="NormalWeb"/>
        <w:ind w:left="720" w:hanging="720"/>
      </w:pPr>
      <w:r>
        <w:lastRenderedPageBreak/>
        <w:t xml:space="preserve">Valeros de Corica, M. C., Niell, F. L., &amp; Di Luca, G. B. (2023). Audiencias inmersivas con realidad virtual: Algunas experiencias. </w:t>
      </w:r>
      <w:r>
        <w:rPr>
          <w:rStyle w:val="nfasis"/>
        </w:rPr>
        <w:t>Perspectivas: Revista de Ciencias Jurídicas y Políticas</w:t>
      </w:r>
      <w:r>
        <w:t>.</w:t>
      </w:r>
    </w:p>
    <w:p w14:paraId="32B3740A" w14:textId="77777777" w:rsidR="009F2C0B" w:rsidRDefault="009F2C0B" w:rsidP="00384E04">
      <w:pPr>
        <w:ind w:left="720" w:hanging="720"/>
        <w:jc w:val="left"/>
      </w:pPr>
    </w:p>
    <w:sectPr w:rsidR="009F2C0B" w:rsidSect="0003461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64CE" w14:textId="77777777" w:rsidR="00784EEA" w:rsidRDefault="00784EEA">
      <w:pPr>
        <w:spacing w:line="240" w:lineRule="auto"/>
      </w:pPr>
      <w:r>
        <w:separator/>
      </w:r>
    </w:p>
  </w:endnote>
  <w:endnote w:type="continuationSeparator" w:id="0">
    <w:p w14:paraId="0342E9AC" w14:textId="77777777" w:rsidR="00784EEA" w:rsidRDefault="00784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681F5" w14:textId="77777777" w:rsidR="00784EEA" w:rsidRDefault="00784EEA">
      <w:pPr>
        <w:spacing w:line="240" w:lineRule="auto"/>
      </w:pPr>
      <w:r>
        <w:separator/>
      </w:r>
    </w:p>
  </w:footnote>
  <w:footnote w:type="continuationSeparator" w:id="0">
    <w:p w14:paraId="2333EF6C" w14:textId="77777777" w:rsidR="00784EEA" w:rsidRDefault="00784E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AA78" w14:textId="0EA4F298" w:rsidR="00F451F1" w:rsidRDefault="004A66F2">
    <w:pPr>
      <w:pStyle w:val="Encabezado"/>
      <w:jc w:val="right"/>
    </w:pPr>
    <w:r>
      <w:fldChar w:fldCharType="begin"/>
    </w:r>
    <w:r>
      <w:instrText>PAGE</w:instrText>
    </w:r>
    <w:r>
      <w:fldChar w:fldCharType="separate"/>
    </w:r>
    <w:r w:rsidR="0071388D">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886603827">
    <w:abstractNumId w:val="8"/>
  </w:num>
  <w:num w:numId="2" w16cid:durableId="66460035">
    <w:abstractNumId w:val="6"/>
  </w:num>
  <w:num w:numId="3" w16cid:durableId="1052577904">
    <w:abstractNumId w:val="5"/>
  </w:num>
  <w:num w:numId="4" w16cid:durableId="52698294">
    <w:abstractNumId w:val="4"/>
  </w:num>
  <w:num w:numId="5" w16cid:durableId="333997912">
    <w:abstractNumId w:val="7"/>
  </w:num>
  <w:num w:numId="6" w16cid:durableId="903832809">
    <w:abstractNumId w:val="3"/>
  </w:num>
  <w:num w:numId="7" w16cid:durableId="1412895234">
    <w:abstractNumId w:val="2"/>
  </w:num>
  <w:num w:numId="8" w16cid:durableId="1238904908">
    <w:abstractNumId w:val="1"/>
  </w:num>
  <w:num w:numId="9" w16cid:durableId="43680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3C8F"/>
    <w:rsid w:val="000E0326"/>
    <w:rsid w:val="0015074B"/>
    <w:rsid w:val="0029639D"/>
    <w:rsid w:val="00326F90"/>
    <w:rsid w:val="00384E04"/>
    <w:rsid w:val="004A66F2"/>
    <w:rsid w:val="0071388D"/>
    <w:rsid w:val="00784EEA"/>
    <w:rsid w:val="008921A3"/>
    <w:rsid w:val="009F2C0B"/>
    <w:rsid w:val="00AA1D8D"/>
    <w:rsid w:val="00AE2327"/>
    <w:rsid w:val="00B47730"/>
    <w:rsid w:val="00BC7957"/>
    <w:rsid w:val="00CA55E2"/>
    <w:rsid w:val="00CB0664"/>
    <w:rsid w:val="00F451F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AAAD80"/>
  <w14:defaultImageDpi w14:val="300"/>
  <w15:docId w15:val="{0687F3C9-8995-AE47-918A-E5D94D85B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exact"/>
      <w:jc w:val="both"/>
    </w:pPr>
    <w:rPr>
      <w:rFonts w:ascii="Times New Roman" w:hAnsi="Times New Roman"/>
      <w:sz w:val="24"/>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F2C0B"/>
    <w:pPr>
      <w:spacing w:before="100" w:beforeAutospacing="1" w:after="100" w:afterAutospacing="1" w:line="240" w:lineRule="auto"/>
      <w:jc w:val="left"/>
    </w:pPr>
    <w:rPr>
      <w:rFonts w:eastAsia="Times New Roman" w:cs="Times New Roman"/>
      <w:szCs w:val="24"/>
      <w:lang w:val="es-CO" w:eastAsia="es-CO"/>
    </w:rPr>
  </w:style>
  <w:style w:type="character" w:styleId="Hipervnculo">
    <w:name w:val="Hyperlink"/>
    <w:basedOn w:val="Fuentedeprrafopredeter"/>
    <w:uiPriority w:val="99"/>
    <w:semiHidden/>
    <w:unhideWhenUsed/>
    <w:rsid w:val="009F2C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3858">
      <w:bodyDiv w:val="1"/>
      <w:marLeft w:val="0"/>
      <w:marRight w:val="0"/>
      <w:marTop w:val="0"/>
      <w:marBottom w:val="0"/>
      <w:divBdr>
        <w:top w:val="none" w:sz="0" w:space="0" w:color="auto"/>
        <w:left w:val="none" w:sz="0" w:space="0" w:color="auto"/>
        <w:bottom w:val="none" w:sz="0" w:space="0" w:color="auto"/>
        <w:right w:val="none" w:sz="0" w:space="0" w:color="auto"/>
      </w:divBdr>
    </w:div>
    <w:div w:id="315652949">
      <w:bodyDiv w:val="1"/>
      <w:marLeft w:val="0"/>
      <w:marRight w:val="0"/>
      <w:marTop w:val="0"/>
      <w:marBottom w:val="0"/>
      <w:divBdr>
        <w:top w:val="none" w:sz="0" w:space="0" w:color="auto"/>
        <w:left w:val="none" w:sz="0" w:space="0" w:color="auto"/>
        <w:bottom w:val="none" w:sz="0" w:space="0" w:color="auto"/>
        <w:right w:val="none" w:sz="0" w:space="0" w:color="auto"/>
      </w:divBdr>
    </w:div>
    <w:div w:id="4239624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technologies130803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87/msom.2021.1043" TargetMode="External"/><Relationship Id="rId5" Type="http://schemas.openxmlformats.org/officeDocument/2006/relationships/webSettings" Target="webSettings.xml"/><Relationship Id="rId10" Type="http://schemas.openxmlformats.org/officeDocument/2006/relationships/hyperlink" Target="https://doi.org/10.22201/iij.24484881e.2022.46.16719" TargetMode="External"/><Relationship Id="rId4" Type="http://schemas.openxmlformats.org/officeDocument/2006/relationships/settings" Target="settings.xml"/><Relationship Id="rId9" Type="http://schemas.openxmlformats.org/officeDocument/2006/relationships/hyperlink" Target="https://doi.org/10.1344/rbd2023.58.3797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8BE01-F275-45EA-A134-05E87CD8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3276</Words>
  <Characters>20744</Characters>
  <Application>Microsoft Office Word</Application>
  <DocSecurity>0</DocSecurity>
  <Lines>377</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Oviedo Fadul</dc:creator>
  <cp:keywords/>
  <dc:description>generated by Alexander Oviedo Fadul and Samir Jaller Cerchiaro</dc:description>
  <cp:lastModifiedBy>Alexander Oviedo Fadul</cp:lastModifiedBy>
  <cp:revision>6</cp:revision>
  <dcterms:created xsi:type="dcterms:W3CDTF">2013-12-23T23:15:00Z</dcterms:created>
  <dcterms:modified xsi:type="dcterms:W3CDTF">2026-04-18T16:09:00Z</dcterms:modified>
  <cp:category/>
</cp:coreProperties>
</file>